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/>
        <w:ind w:left="0" w:right="0" w:hanging="0"/>
        <w:jc w:val="center"/>
        <w:rPr/>
      </w:pPr>
      <w:r>
        <w:rPr>
          <w:color w:val="000000"/>
          <w:sz w:val="28"/>
          <w:szCs w:val="28"/>
          <w:lang w:eastAsia="ru-RU" w:bidi="ar-SA"/>
        </w:rPr>
        <w:t>БОЛЬШЕИРБИНСКИЙ ПОСЕЛКОВЫЙ СОВЕТ ДЕПУТАТОВ</w:t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/>
      </w:pPr>
      <w:r>
        <w:rPr>
          <w:color w:val="000000"/>
          <w:sz w:val="28"/>
          <w:lang w:eastAsia="ru-RU" w:bidi="ar-SA"/>
        </w:rPr>
        <w:t>КУРАГИНСКОГО РАЙОНА</w:t>
      </w:r>
    </w:p>
    <w:p>
      <w:pPr>
        <w:pStyle w:val="Normal"/>
        <w:widowControl/>
        <w:bidi w:val="0"/>
        <w:spacing w:lineRule="auto" w:line="276"/>
        <w:ind w:left="0" w:right="0" w:hanging="0"/>
        <w:jc w:val="center"/>
        <w:rPr/>
      </w:pPr>
      <w:r>
        <w:rPr>
          <w:color w:val="000000"/>
          <w:sz w:val="28"/>
          <w:lang w:eastAsia="ru-RU" w:bidi="ar-SA"/>
        </w:rPr>
        <w:t>КРАСНОЯРСКОГО КРАЯ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color w:val="000000"/>
          <w:sz w:val="28"/>
          <w:lang w:eastAsia="ru-RU" w:bidi="ar-SA"/>
        </w:rPr>
      </w:pPr>
      <w:r>
        <w:rPr>
          <w:color w:val="000000"/>
          <w:sz w:val="28"/>
          <w:lang w:eastAsia="ru-RU" w:bidi="ar-SA"/>
        </w:rPr>
      </w:r>
    </w:p>
    <w:p>
      <w:pPr>
        <w:pStyle w:val="Normal"/>
        <w:widowControl/>
        <w:tabs>
          <w:tab w:val="clear" w:pos="708"/>
          <w:tab w:val="left" w:pos="798" w:leader="none"/>
          <w:tab w:val="center" w:pos="4677" w:leader="none"/>
        </w:tabs>
        <w:bidi w:val="0"/>
        <w:ind w:left="0" w:right="0" w:hanging="0"/>
        <w:jc w:val="center"/>
        <w:rPr/>
      </w:pPr>
      <w:r>
        <w:rPr>
          <w:color w:val="000000"/>
          <w:sz w:val="28"/>
          <w:lang w:eastAsia="ru-RU" w:bidi="ar-SA"/>
        </w:rPr>
        <w:t>РЕШЕНИЕ</w:t>
      </w:r>
    </w:p>
    <w:p>
      <w:pPr>
        <w:pStyle w:val="ConsTitle"/>
        <w:widowControl/>
        <w:bidi w:val="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4"/>
          <w:lang w:eastAsia="ru-RU"/>
        </w:rPr>
      </w:r>
    </w:p>
    <w:p>
      <w:pPr>
        <w:pStyle w:val="Normal"/>
        <w:widowControl/>
        <w:bidi w:val="0"/>
        <w:ind w:left="0" w:right="-6" w:hanging="0"/>
        <w:jc w:val="both"/>
        <w:rPr/>
      </w:pPr>
      <w:r>
        <w:rPr>
          <w:color w:val="000000"/>
          <w:sz w:val="28"/>
          <w:lang w:eastAsia="ru-RU"/>
        </w:rPr>
        <w:t>25.12.2014                    пгт Большая Ирба                    № 53-258 р</w:t>
      </w:r>
    </w:p>
    <w:p>
      <w:pPr>
        <w:pStyle w:val="ConsTitle"/>
        <w:widowControl/>
        <w:bidi w:val="0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4"/>
        </w:rPr>
      </w:r>
    </w:p>
    <w:p>
      <w:pPr>
        <w:pStyle w:val="Normal"/>
        <w:widowControl/>
        <w:bidi w:val="0"/>
        <w:ind w:left="0" w:right="0" w:hanging="0"/>
        <w:rPr/>
      </w:pPr>
      <w:r>
        <w:rPr>
          <w:color w:val="000000"/>
          <w:sz w:val="28"/>
          <w:lang w:eastAsia="ru-RU"/>
        </w:rPr>
        <w:t>О бюджете муниципального образования</w:t>
      </w:r>
    </w:p>
    <w:p>
      <w:pPr>
        <w:pStyle w:val="Normal"/>
        <w:widowControl/>
        <w:bidi w:val="0"/>
        <w:ind w:left="0" w:right="0" w:hanging="0"/>
        <w:rPr/>
      </w:pPr>
      <w:r>
        <w:rPr>
          <w:color w:val="000000"/>
          <w:sz w:val="28"/>
          <w:lang w:eastAsia="ru-RU"/>
        </w:rPr>
        <w:t xml:space="preserve">поселок Большая Ирба на 2015 год и </w:t>
      </w:r>
    </w:p>
    <w:p>
      <w:pPr>
        <w:pStyle w:val="Normal"/>
        <w:widowControl/>
        <w:bidi w:val="0"/>
        <w:ind w:left="0" w:right="0" w:hanging="0"/>
        <w:rPr/>
      </w:pPr>
      <w:r>
        <w:rPr>
          <w:color w:val="000000"/>
          <w:sz w:val="28"/>
          <w:lang w:eastAsia="ru-RU"/>
        </w:rPr>
        <w:t>плановый период 2016-2017 годов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1. Утвердить основные характеристики бюджета муниципального образования поселок Большая Ирба (далее – местного бюджета) на 2015 год: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1.1. Прогнозируемый общий объём доходов местного бюджета в сумме 19037,65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1.2. Общий объём расходов местного бюджета в сумме 19547,67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1.3. Дефицит местного бюджета в сумме 510,02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1.4. Источники внутреннего финансирования дефицита местного бюджета в сумме 510,02 тыс. рублей согласно приложению 1 к настоящему решению.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2. Утвердить основные характеристики бюджета муниципального образования поселок Большая Ирба (далее – местного бюджета) на 2016 год и на 2017 год: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2.1.</w:t>
      </w:r>
      <w:r>
        <w:rPr>
          <w:lang w:eastAsia="ru-RU"/>
        </w:rPr>
        <w:t xml:space="preserve"> </w:t>
      </w:r>
      <w:r>
        <w:rPr>
          <w:color w:val="000000"/>
          <w:sz w:val="28"/>
          <w:lang w:eastAsia="ru-RU"/>
        </w:rPr>
        <w:t>Прогнозируемый общий объём доходов местного бюджета на 2016 год в сумме 19370,95 тыс. рублей и на 2017 год в сумме 15503,89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2.2. Общий объём расходов местного бюджета на 2016 год в сумме 19390,95 тыс. рублей, в том числе условно утвержденные расходы в сумме 290,0 тыс. рублей, и на 2017 год в сумме 15586,89 тыс. рублей, в том числе условно утвержденные расходы в сумме 580,0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2.3. Дефицит местного бюджета на 2016 год в сумме 20,0 тыс. рублей и на 2017 год в сумме 83,0 тыс. рублей;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2.4. Источники внутреннего финансирования дефицита местного бюджета на 2016 год в сумме 20,0 тыс. рублей и на 2017 год в сумме 83,0 тыс. рублей согласно приложению 1 к настоящему решению.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3.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4.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color w:val="000000"/>
          <w:sz w:val="28"/>
          <w:lang w:eastAsia="ru-RU"/>
        </w:rPr>
        <w:t>5. Утвердить доходы местного бюджета на 2015 год и плановый период 2016-2017 годов согласно приложению 4 к настоящему решению.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6. Учесть в местном бюджете безвозмездные поступления от других бюджетов бюджетной системы Российской Федерации на 2015 год и плановый период 2016-2017 годов согласно приложению 5 к настоящему решению.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 xml:space="preserve">7.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2015 год и плановый период 2016-2017 годов согласно приложению 6 к настоящему решению. 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8. Утвердить ведомственную структуру расходов местного бюджета на 2015 год</w:t>
      </w:r>
      <w:r>
        <w:rPr>
          <w:szCs w:val="24"/>
        </w:rPr>
        <w:t xml:space="preserve"> </w:t>
      </w:r>
      <w:r>
        <w:rPr>
          <w:color w:val="000000"/>
          <w:szCs w:val="24"/>
        </w:rPr>
        <w:t>согласно приложению 7 к настоящему решению.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 xml:space="preserve">9. Утвердить ведомственную структуру расходов местного бюджета на 2015 год и плановый период 2016-2017 годов согласно приложению 8 к настоящему решению 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10.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2015 год согласно приложению 9 к настоящему решению;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11.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2016-2017 годов согласно приложению 10 к настоящему решению.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12. Утвердить общий объем средств местного бюджета на исполнение публичных нормативных обязательств на 2015 год в сумме 0,00 тыс. рублей, на 2016 в сумме 0,00 тыс. рублей и на 2017 год в сумме 0,00 тыс. рублей.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13. Установить, что Глава поселка вправе в ходе исполнения настоящего решения вносить изменения в сводную бюджетную роспись местного бюджета на 2015 год и плановый период 2016-2017 годов без внесения изменений в настоящее решение: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а) на сумму средств, выделяемых из резервного фонда администрации поселка Большая Ирба;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 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г) в случае образования,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решением;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е)</w:t>
      </w:r>
      <w:r>
        <w:rPr>
          <w:szCs w:val="24"/>
        </w:rPr>
        <w:t xml:space="preserve"> </w:t>
      </w:r>
      <w:r>
        <w:rPr>
          <w:color w:val="000000"/>
          <w:szCs w:val="24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14.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годах, увеличиваются (индексируется) на 5,0 процента с 1 октября 2015 года, в плановом периоде  2016-2017 годов увеличиваются (индексируются) на коэффициент равный 1.</w:t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</w:rPr>
        <w:t>15.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>
        <w:rPr>
          <w:color w:val="000000"/>
          <w:sz w:val="28"/>
        </w:rPr>
        <w:t xml:space="preserve"> на 5,0 процента с 1 октября 2015 года, в плановом периоде  2016-2017 годов увеличиваются (индексируются) на коэффициент равный 1.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</w:rPr>
        <w:t>16. Установить в составе расходов долевое финансирование за счёт средств местного бюджета на 2015 год</w:t>
      </w:r>
      <w:r>
        <w:rPr>
          <w:sz w:val="28"/>
        </w:rPr>
        <w:t xml:space="preserve"> </w:t>
      </w:r>
      <w:r>
        <w:rPr>
          <w:color w:val="000000"/>
          <w:sz w:val="28"/>
        </w:rPr>
        <w:t>и плановый период 2016-2017 годов: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а) по организации и проведению акарицидных обработок мест массового отдыха населения в сумме 10,0 тыс. руб.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</w:rPr>
        <w:t>17.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2015 год и плановый период 2016-2017 годов согласно приложению 13 к настоящему решению.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18. Остатки средств местного бюджета на 1 января 2015 года в полном объёме направляются на покрытие временных кассовых разрывов, возникающих в ходе исполнения местного бюджета в 2015 году, за исключением неиспользованных межбюджетных трансфертов</w:t>
      </w:r>
      <w:r>
        <w:rPr>
          <w:szCs w:val="24"/>
        </w:rPr>
        <w:t xml:space="preserve"> </w:t>
      </w:r>
      <w:r>
        <w:rPr>
          <w:color w:val="000000"/>
          <w:szCs w:val="24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19. Установить, что не использованные по состоянию на 1 января 2015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пяти рабочих дней 2015 года.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</w:rPr>
        <w:t>20.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2015 года обязательствам, производится за счет средств местного бюджета, за счет утвержденных им бюджетных ассигнований на 2015 год.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</w:rPr>
        <w:t>21. Утвердить объем бюджетных ассигнований дорожного фонда муниципального образования поселок Большая Ирба на 2015 год в сумме 422,4 тыс. рублей, на 2016 год в сумме 567,386 тыс. рублей, на 2017 год в сумме 523,686 тыс. рублей.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</w:rPr>
        <w:t>22. Установить, что в расходной части местного бюджета предусматривается резервный фонд администрации поселка Большая Ирба на 2015 год и плановый период 2016-2017 годов в сумме 50,0 тыс. рублей ежегодно.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23. Установить программу муниципальных  внутренних заимствований</w:t>
      </w:r>
      <w:r>
        <w:rPr>
          <w:szCs w:val="24"/>
        </w:rPr>
        <w:t xml:space="preserve"> </w:t>
      </w:r>
      <w:r>
        <w:rPr>
          <w:color w:val="000000"/>
          <w:szCs w:val="24"/>
        </w:rPr>
        <w:t>муниципального образования поселок Большая Ирба на 2015 год и плановый период 2016-2017 годов в сумме 0,0 тыс. рублей ежегодно.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24. Установить верхний предел муниципального внутреннего долга муниципального образования поселок Большая Ирба: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на 1 января 2016 года 0,00 тыс. рублей, в том числе по муниципальным гарантиям 0,00 тыс. рублей;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на 1 января 2017 года 0,00 тыс. рублей, в том числе по муниципальным гарантиям 0,00 тыс. рублей;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на 1 января 2018 года 0,00 тыс. рублей, в том числе по муниципальным гарантиям 0,00 тыс. рублей.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25. Предельный объём расходов на обслуживание муниципального долга муниципального образования поселок Большая Ирба не должен превышать в 2015 -2017 годах 0,0 тыс. рублей ежегодно.</w:t>
      </w:r>
    </w:p>
    <w:p>
      <w:pPr>
        <w:pStyle w:val="Cef1edeee2edeee9f2e5eaf1f2f1eef2f1f2f3efeeec"/>
        <w:bidi w:val="0"/>
        <w:spacing w:before="0" w:after="0"/>
        <w:ind w:left="0" w:right="0" w:firstLine="709"/>
        <w:rPr/>
      </w:pPr>
      <w:r>
        <w:rPr>
          <w:color w:val="000000"/>
          <w:szCs w:val="24"/>
        </w:rPr>
        <w:t>26.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</w:rPr>
        <w:t>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Красноярского края на основании соглашения, заключенного между администрацией поселка Большая Ирба и Управлением Федерального казначейства  Красноярского края.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</w:rPr>
        <w:t>27. Настоящее решение подлежит официальному опубликованию</w:t>
      </w:r>
      <w:r>
        <w:rPr>
          <w:sz w:val="28"/>
        </w:rPr>
        <w:t xml:space="preserve"> </w:t>
      </w:r>
      <w:r>
        <w:rPr>
          <w:color w:val="000000"/>
          <w:sz w:val="28"/>
        </w:rPr>
        <w:t>в газете «Ирбинский вестник» и вступает в силу с 1 января 2015 года.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</w:rPr>
        <w:t xml:space="preserve">Председатель Совета депутатов                                     Глава поселка            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</w:rPr>
        <w:t xml:space="preserve">                       </w:t>
      </w:r>
      <w:r>
        <w:rPr>
          <w:sz w:val="28"/>
        </w:rPr>
        <w:t>Е.Б.Бублик                                                        Н.Н. Корнева</w:t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851" w:header="0" w:top="964" w:footer="0" w:bottom="5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Mangal" w:cs="Times New Roman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C7e0e3eeebeee2eeea1c7ede0ead0e0e7e4e5ebc4eee3eee2eef0e0c7ede0eaH1c7ede0eac0ebece0e7c7ede0ea">
    <w:name w:val="Зc7аe0гe3оeeлebоeeвe2оeeкea 1 Зc7нedаe0кea,Рd0аe0зe7дe4еe5лeb Дc4оeeгe3оeeвe2оeeрf0аe0 Зc7нedаe0кea,H1 Зc7нedаe0кea,&quot;Аc0лebмecаe0зe7&quot; Зc7нedаe0кea"/>
    <w:basedOn w:val="DefaultParagraphFont"/>
    <w:qFormat/>
    <w:rPr>
      <w:rFonts w:eastAsia="Times New Roman" w:cs="Times New Roman"/>
      <w:lang w:val="en-US" w:eastAsia="en-US"/>
    </w:rPr>
  </w:style>
  <w:style w:type="character" w:styleId="BodyTextIndentChar">
    <w:name w:val="Body Text Indent Char"/>
    <w:qFormat/>
    <w:rPr>
      <w:sz w:val="28"/>
    </w:rPr>
  </w:style>
  <w:style w:type="character" w:styleId="Cef1edeee2edeee9f2e5eaf1f2f1eef2f1f2f3efeeecc7ede0ea">
    <w:name w:val="Оceсf1нedоeeвe2нedоeeйe9 тf2еe5кeaсf1тf2 сf1 оeeтf2сf1тf2уf3пefоeeмec Зc7нedаe0кea"/>
    <w:basedOn w:val="DefaultParagraphFont"/>
    <w:qFormat/>
    <w:rPr>
      <w:rFonts w:eastAsia="Times New Roman" w:cs="Times New Roman"/>
    </w:rPr>
  </w:style>
  <w:style w:type="character" w:styleId="22353a4142324b3d3e413a38173d303a">
    <w:name w:val="Т22е35к3aс41т42 в32ы4bн3dо3eс41к3aи38 З17н3dа30к3a"/>
    <w:basedOn w:val="DefaultParagraphFont"/>
    <w:qFormat/>
    <w:rPr>
      <w:rFonts w:ascii="Tahoma" w:hAnsi="Tahoma" w:cs="Tahoma"/>
      <w:sz w:val="16"/>
      <w:szCs w:val="16"/>
    </w:rPr>
  </w:style>
  <w:style w:type="character" w:styleId="123540453d38393a3e3b3e3d423842433b173d303a">
    <w:name w:val="В12е35р40х45н3dи38й39 к3aо3eл3bо3eн3dт42и38т42у43л3b З17н3dа30к3a"/>
    <w:basedOn w:val="DefaultParagraphFont"/>
    <w:qFormat/>
    <w:rPr>
      <w:rFonts w:eastAsia="Times New Roman" w:cs="Times New Roman"/>
    </w:rPr>
  </w:style>
  <w:style w:type="character" w:styleId="1d38363d38393a3e3b3e3d423842433b173d303a">
    <w:name w:val="Н1dи38ж36н3dи38й39 к3aо3eл3bо3eн3dт42и38т42у43л3b З17н3dа30к3a"/>
    <w:basedOn w:val="DefaultParagraphFont"/>
    <w:qFormat/>
    <w:rPr>
      <w:rFonts w:eastAsia="Times New Roman" w:cs="Times New Roman"/>
    </w:rPr>
  </w:style>
  <w:style w:type="character" w:styleId="1d0e0e7e4e5ebc4eee3eee2eef0e0H1c0ebece0e7">
    <w:name w:val="Заголовок 1 Знак,Рd0аe0зe7дe4еe5лeb Дc4оeeгe3оeeвe2оeeрf0аe0 Знак,H1 Знак,&quot;Аc0лebмecаe0зe7&quot; Знак"/>
    <w:basedOn w:val="DefaultParagraphFont"/>
    <w:qFormat/>
    <w:rPr>
      <w:rFonts w:ascii="Cambria" w:hAnsi="Cambria" w:eastAsia="Times New Roman" w:cs="Cambria"/>
      <w:b/>
      <w:bCs/>
      <w:kern w:val="2"/>
      <w:sz w:val="29"/>
      <w:szCs w:val="29"/>
      <w:lang w:val="en-US" w:eastAsia="zh-CN" w:bidi="hi-IN"/>
    </w:rPr>
  </w:style>
  <w:style w:type="character" w:styleId="Style14">
    <w:name w:val="Текст выноски Знак"/>
    <w:basedOn w:val="DefaultParagraphFont"/>
    <w:qFormat/>
    <w:rPr>
      <w:rFonts w:ascii="Tahoma" w:hAnsi="Tahoma" w:cs="Mangal"/>
      <w:kern w:val="2"/>
      <w:sz w:val="14"/>
      <w:szCs w:val="1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ing1d0e0e7e4e5ebc4eee3eee2eef0e0H1c0ebece0e7">
    <w:name w:val="heading 1,Рd0аe0зe7дe4еe5лeb Дc4оeeгe3оeeвe2оeeрf0аe0,H1,&quot;Аc0лebмecаe0зe7&quot;"/>
    <w:basedOn w:val="Normal"/>
    <w:qFormat/>
    <w:pPr>
      <w:keepNext w:val="true"/>
      <w:widowControl/>
      <w:ind w:firstLine="540"/>
      <w:jc w:val="both"/>
      <w:textAlignment w:val="auto"/>
      <w:outlineLvl w:val="0"/>
    </w:pPr>
    <w:rPr>
      <w:rFonts w:cs="Times New Roman"/>
      <w:kern w:val="2"/>
      <w:sz w:val="24"/>
      <w:szCs w:val="24"/>
      <w:lang w:val="ru-RU" w:eastAsia="en-US" w:bidi="ar-SA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7e0e3eeebeee2eeea">
    <w:name w:val="Зc7аe0гe3оeeлebоeeвe2оeeкea"/>
    <w:basedOn w:val="Normal"/>
    <w:qFormat/>
    <w:pPr>
      <w:keepNext w:val="true"/>
      <w:widowControl w:val="false"/>
      <w:spacing w:before="240" w:after="120"/>
      <w:jc w:val="left"/>
      <w:textAlignment w:val="auto"/>
    </w:pPr>
    <w:rPr>
      <w:rFonts w:ascii="Arial" w:hAnsi="Arial" w:eastAsia="Times New Roman" w:cs="Times New Roman"/>
      <w:sz w:val="28"/>
      <w:szCs w:val="28"/>
      <w:lang w:val="ru-RU" w:eastAsia="ru-RU" w:bidi="ar-SA"/>
    </w:rPr>
  </w:style>
  <w:style w:type="paragraph" w:styleId="Cef1edeee2edeee9f2e5eaf1f2">
    <w:name w:val="Оceсf1нedоeeвe2нedоeeйe9 тf2еe5кeaсf1тf2"/>
    <w:basedOn w:val="Normal"/>
    <w:qFormat/>
    <w:pPr>
      <w:widowControl w:val="false"/>
      <w:spacing w:before="0" w:after="120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D1efe8f1eeea">
    <w:name w:val="Сd1пefиe8сf1оeeкea"/>
    <w:basedOn w:val="Cef1edeee2edeee9f2e5eaf1f2"/>
    <w:qFormat/>
    <w:pPr>
      <w:widowControl w:val="false"/>
      <w:spacing w:before="0" w:after="120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Cde0e7e2e0ede8e5">
    <w:name w:val="Нcdаe0зe7вe2аe0нedиe8еe5"/>
    <w:basedOn w:val="Normal"/>
    <w:qFormat/>
    <w:pPr>
      <w:widowControl w:val="false"/>
      <w:spacing w:before="120" w:after="120"/>
      <w:jc w:val="left"/>
      <w:textAlignment w:val="auto"/>
    </w:pPr>
    <w:rPr>
      <w:rFonts w:cs="Times New Roman"/>
      <w:i/>
      <w:iCs/>
      <w:sz w:val="24"/>
      <w:szCs w:val="24"/>
      <w:lang w:val="ru-RU" w:eastAsia="ru-RU" w:bidi="ar-SA"/>
    </w:rPr>
  </w:style>
  <w:style w:type="paragraph" w:styleId="D3eae0e7e0f2e5ebfc">
    <w:name w:val="Уd3кeaаe0зe7аe0тf2еe5лebьfc"/>
    <w:basedOn w:val="Normal"/>
    <w:qFormat/>
    <w:pPr>
      <w:widowControl w:val="false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Cef1edeee2edeee9f2e5eaf1f2f1eef2f1f2f3efeeec">
    <w:name w:val="Оceсf1нedоeeвe2нedоeeйe9 тf2еe5кeaсf1тf2 сf1 оeeтf2сf1тf2уf3пefоeeмec"/>
    <w:basedOn w:val="Cef1edeee2edeee9f2e5eaf1f2"/>
    <w:qFormat/>
    <w:pPr>
      <w:widowControl/>
      <w:spacing w:before="0" w:after="120"/>
      <w:ind w:firstLine="708"/>
      <w:jc w:val="both"/>
      <w:textAlignment w:val="auto"/>
    </w:pPr>
    <w:rPr>
      <w:rFonts w:cs="Times New Roman"/>
      <w:sz w:val="28"/>
      <w:szCs w:val="28"/>
      <w:lang w:val="ru-RU" w:eastAsia="ru-RU" w:bidi="ar-SA"/>
    </w:rPr>
  </w:style>
  <w:style w:type="paragraph" w:styleId="ConsTitle">
    <w:name w:val="ConsTitle"/>
    <w:qFormat/>
    <w:pPr>
      <w:widowControl w:val="false"/>
      <w:bidi w:val="0"/>
      <w:ind w:right="19772" w:hanging="0"/>
      <w:jc w:val="left"/>
      <w:textAlignment w:val="auto"/>
    </w:pPr>
    <w:rPr>
      <w:rFonts w:ascii="Arial" w:hAnsi="Arial" w:eastAsia="Times New Roman" w:cs="Times New Roman"/>
      <w:b/>
      <w:bCs/>
      <w:color w:val="auto"/>
      <w:kern w:val="2"/>
      <w:sz w:val="16"/>
      <w:szCs w:val="16"/>
      <w:lang w:val="ru-RU" w:eastAsia="en-US" w:bidi="ar-SA"/>
    </w:rPr>
  </w:style>
  <w:style w:type="paragraph" w:styleId="CharChar1173d303a173d303a173d303a">
    <w:name w:val="Char Char1 З17н3dа30к3a З17н3dа30к3a З17н3dа30к3a"/>
    <w:qFormat/>
    <w:pPr>
      <w:widowControl w:val="false"/>
      <w:bidi w:val="0"/>
      <w:jc w:val="both"/>
      <w:textAlignment w:val="auto"/>
    </w:pPr>
    <w:rPr>
      <w:rFonts w:ascii="Verdana" w:hAnsi="Verdana" w:eastAsia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eastAsia="Times New Roman" w:cs="Times New Roman"/>
      <w:kern w:val="2"/>
      <w:sz w:val="16"/>
      <w:szCs w:val="16"/>
      <w:lang w:val="ru-RU" w:eastAsia="ru-RU" w:bidi="ar-SA"/>
    </w:rPr>
  </w:style>
  <w:style w:type="paragraph" w:styleId="123540453d38393a3e3b3e3d423842433b">
    <w:name w:val="В12е35р40х45н3dи38й39 к3aо3eл3bо3eн3dт42и38т42у43л3b"/>
    <w:basedOn w:val="Normal"/>
    <w:qFormat/>
    <w:pPr>
      <w:widowControl/>
      <w:tabs>
        <w:tab w:val="clear" w:pos="708"/>
        <w:tab w:val="center" w:pos="4677" w:leader="none"/>
        <w:tab w:val="right" w:pos="9355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1d38363d38393a3e3b3e3d423842433b">
    <w:name w:val="Н1dи38ж36н3dи38й39 к3aо3eл3bо3eн3dт42и38т42у43л3b"/>
    <w:basedOn w:val="Normal"/>
    <w:qFormat/>
    <w:pPr>
      <w:widowControl/>
      <w:tabs>
        <w:tab w:val="clear" w:pos="708"/>
        <w:tab w:val="center" w:pos="4677" w:leader="none"/>
        <w:tab w:val="right" w:pos="9355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99</Pages>
  <Words>1333</Words>
  <Characters>10205</Characters>
  <CharactersWithSpaces>8892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2014-01-28T10:10:00Z</dcterms:created>
  <dc:creator>Home</dc:creator>
  <dc:description/>
  <dc:language>en-US</dc:language>
  <cp:lastModifiedBy/>
  <cp:lastPrinted>2014-11-12T11:42:00Z</cp:lastPrinted>
  <dcterms:modified xsi:type="dcterms:W3CDTF">2015-01-12T14:28:00Z</dcterms:modified>
  <cp:revision>2</cp:revision>
  <dc:subject/>
  <dc:title>БОЛЬШЕИРБИНСКИЙ ПОСЕЛКОВЫЙ СОВЕТ ДЕПУТАТОВ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