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F3886" w14:textId="18D3CC5B" w:rsidR="00F70C4E" w:rsidRDefault="00F70C4E" w:rsidP="00C656C5">
      <w:pPr>
        <w:spacing w:after="0" w:line="240" w:lineRule="auto"/>
        <w:ind w:firstLine="284"/>
        <w:jc w:val="both"/>
      </w:pPr>
      <w:r w:rsidRPr="00F70C4E">
        <w:rPr>
          <w:b/>
          <w:u w:val="single"/>
        </w:rPr>
        <w:t>Обзор нормативно-правовых актов за период с 24 по 3</w:t>
      </w:r>
      <w:r w:rsidR="00F61BA0">
        <w:rPr>
          <w:b/>
          <w:u w:val="single"/>
        </w:rPr>
        <w:t>0</w:t>
      </w:r>
      <w:bookmarkStart w:id="0" w:name="_GoBack"/>
      <w:bookmarkEnd w:id="0"/>
      <w:r w:rsidRPr="00F70C4E">
        <w:rPr>
          <w:b/>
          <w:u w:val="single"/>
        </w:rPr>
        <w:t xml:space="preserve"> июня 2024 г.</w:t>
      </w:r>
      <w:r w:rsidRPr="00F70C4E">
        <w:t xml:space="preserve"> </w:t>
      </w:r>
    </w:p>
    <w:p w14:paraId="589A9035" w14:textId="77777777" w:rsidR="006C5E7F" w:rsidRDefault="00F70C4E" w:rsidP="006C5E7F">
      <w:pPr>
        <w:spacing w:after="0" w:line="240" w:lineRule="auto"/>
        <w:ind w:firstLine="284"/>
        <w:jc w:val="both"/>
      </w:pPr>
      <w:r w:rsidRPr="00F70C4E">
        <w:t xml:space="preserve">1. Внесены поправки, согласно которым добровольческие формирования может создавать не только Минобороны, но и </w:t>
      </w:r>
      <w:proofErr w:type="spellStart"/>
      <w:r w:rsidRPr="00F70C4E">
        <w:t>Росгвардия</w:t>
      </w:r>
      <w:proofErr w:type="spellEnd"/>
      <w:r w:rsidRPr="00F70C4E">
        <w:t>. Их члены будут получать те же льготы, что и добровольцы Министерства.</w:t>
      </w:r>
    </w:p>
    <w:p w14:paraId="297BCA94" w14:textId="77777777" w:rsidR="006C5E7F" w:rsidRDefault="00F70C4E" w:rsidP="006C5E7F">
      <w:pPr>
        <w:spacing w:after="0" w:line="240" w:lineRule="auto"/>
        <w:ind w:firstLine="284"/>
        <w:jc w:val="both"/>
      </w:pPr>
      <w:r w:rsidRPr="00F70C4E">
        <w:t xml:space="preserve"> В связи с этим скорректированы правила подсчета и подтверждения страхового стажа для определения размеров пособий по временной нетрудоспособности, беременности и родам. Теперь в страховой стаж включается в т. ч. период пребывания в созданном </w:t>
      </w:r>
      <w:proofErr w:type="spellStart"/>
      <w:r w:rsidRPr="00F70C4E">
        <w:t>Росгвардией</w:t>
      </w:r>
      <w:proofErr w:type="spellEnd"/>
      <w:r w:rsidRPr="00F70C4E">
        <w:t xml:space="preserve"> добровольческом формировании с 24 февраля 2022 г. </w:t>
      </w:r>
    </w:p>
    <w:p w14:paraId="29C94806" w14:textId="3C9B3638" w:rsidR="00F70C4E" w:rsidRDefault="00F70C4E" w:rsidP="006C5E7F">
      <w:pPr>
        <w:spacing w:after="0" w:line="240" w:lineRule="auto"/>
        <w:ind w:firstLine="284"/>
        <w:jc w:val="both"/>
      </w:pPr>
      <w:r w:rsidRPr="006C5E7F">
        <w:rPr>
          <w:sz w:val="20"/>
          <w:szCs w:val="20"/>
        </w:rPr>
        <w:t>(Приказ Министерства труда и социальной защиты Российской Федерации от 27 мая 2024 г. № 275н "О внесении изменений в Правила подсчета и подтверждения страхового стажа для определения размеров пособий по временной нетрудоспособности, по беременности и родам, утвержденные приказом Министерства труда и социальной защиты Российской Федерации от 9 сентября 2020 г. № 585н", зарегистрирован в Минюсте России 26 июня 2024 г.)</w:t>
      </w:r>
      <w:r w:rsidRPr="00F70C4E">
        <w:t xml:space="preserve"> </w:t>
      </w:r>
    </w:p>
    <w:p w14:paraId="5110EC78" w14:textId="77777777" w:rsidR="006C5E7F" w:rsidRDefault="00F70C4E" w:rsidP="00C656C5">
      <w:pPr>
        <w:spacing w:after="0" w:line="240" w:lineRule="auto"/>
        <w:ind w:firstLine="284"/>
        <w:jc w:val="both"/>
      </w:pPr>
      <w:r w:rsidRPr="00F70C4E">
        <w:t xml:space="preserve">2. Верховный Суд разъяснил вопросы, связанные с помещением несовершеннолетних в центры временного содержания, в закрытые </w:t>
      </w:r>
      <w:proofErr w:type="spellStart"/>
      <w:r w:rsidRPr="00F70C4E">
        <w:t>спецучреждения</w:t>
      </w:r>
      <w:proofErr w:type="spellEnd"/>
      <w:r w:rsidRPr="00F70C4E">
        <w:t>.</w:t>
      </w:r>
    </w:p>
    <w:p w14:paraId="43C4465B" w14:textId="77777777" w:rsidR="006C5E7F" w:rsidRDefault="00F70C4E" w:rsidP="00C656C5">
      <w:pPr>
        <w:spacing w:after="0" w:line="240" w:lineRule="auto"/>
        <w:ind w:firstLine="284"/>
        <w:jc w:val="both"/>
      </w:pPr>
      <w:r w:rsidRPr="00F70C4E">
        <w:t xml:space="preserve"> Административные дела не могут быть рассмотрены в порядке упрощенного (письменного) производства. Исковое заявление о помещении несовершеннолетнего в центр подается в суд ОВД в течение 1 месяца со дня вынесения постановления о прекращении уголовного дела в отношении несовершеннолетнего или об отказе в его возбуждении либо возникновения иных обстоятельств. Указанный срок может быть восстановлен судом. </w:t>
      </w:r>
    </w:p>
    <w:p w14:paraId="3830548A" w14:textId="77777777" w:rsidR="006C5E7F" w:rsidRDefault="00F70C4E" w:rsidP="00C656C5">
      <w:pPr>
        <w:spacing w:after="0" w:line="240" w:lineRule="auto"/>
        <w:ind w:firstLine="284"/>
        <w:jc w:val="both"/>
      </w:pPr>
      <w:r w:rsidRPr="00F70C4E">
        <w:t xml:space="preserve">Прокурор вправе обратиться с исковым заявлением о помещении несовершеннолетнего в закрытое </w:t>
      </w:r>
      <w:proofErr w:type="spellStart"/>
      <w:r w:rsidRPr="00F70C4E">
        <w:t>спецучреждение</w:t>
      </w:r>
      <w:proofErr w:type="spellEnd"/>
      <w:r w:rsidRPr="00F70C4E">
        <w:t xml:space="preserve">, о досрочном прекращении пребывания в нем, о переводе в другое учреждение, о проведении медицинского освидетельствования несовершеннолетнего в недобровольном порядке для определения возможности его помещения в учреждение. </w:t>
      </w:r>
    </w:p>
    <w:p w14:paraId="7BBEC9CE" w14:textId="77777777" w:rsidR="00D44B35" w:rsidRDefault="00F70C4E" w:rsidP="00C656C5">
      <w:pPr>
        <w:spacing w:after="0" w:line="240" w:lineRule="auto"/>
        <w:ind w:firstLine="284"/>
        <w:jc w:val="both"/>
      </w:pPr>
      <w:r w:rsidRPr="00F70C4E">
        <w:t xml:space="preserve">В отдельном процессе не могут быть оспорены прилагаемые к административному исковому заявлению о помещении в закрытое </w:t>
      </w:r>
      <w:proofErr w:type="spellStart"/>
      <w:r w:rsidRPr="00F70C4E">
        <w:t>спецучреждение</w:t>
      </w:r>
      <w:proofErr w:type="spellEnd"/>
      <w:r w:rsidRPr="00F70C4E">
        <w:t xml:space="preserve"> постановление комиссии по делам несовершеннолетних, характеристика с места учебы (работы), акт обследования семейно-бытовых условий жизни, справка ОВД и т. д. Они сами по себе не влекут правовых последствий для несовершеннолетнего. Возражения относительно указанных доказательств должен оценить суд. </w:t>
      </w:r>
    </w:p>
    <w:p w14:paraId="7BD46961" w14:textId="77777777" w:rsidR="00D44B35" w:rsidRDefault="00F70C4E" w:rsidP="00C656C5">
      <w:pPr>
        <w:spacing w:after="0" w:line="240" w:lineRule="auto"/>
        <w:ind w:firstLine="284"/>
        <w:jc w:val="both"/>
      </w:pPr>
      <w:r w:rsidRPr="00F70C4E">
        <w:t xml:space="preserve">Несовершеннолетние дети - мигранты и их законные представители уведомляются судом о праве на свободу общения с консульскими должностными лицами соответствующего иностранного государства и доступа к ним. </w:t>
      </w:r>
    </w:p>
    <w:p w14:paraId="78B914D3" w14:textId="691C401C" w:rsidR="00D44B35" w:rsidRDefault="00F70C4E" w:rsidP="00C656C5">
      <w:pPr>
        <w:spacing w:after="0" w:line="240" w:lineRule="auto"/>
        <w:ind w:firstLine="284"/>
        <w:jc w:val="both"/>
      </w:pPr>
      <w:r w:rsidRPr="00F70C4E">
        <w:t xml:space="preserve">При помещении несовершеннолетнего в учреждение нельзя игнорировать наличие у него психических заболеваний, ограниченных возможностей. Суд должен выяснить, имеется ли в учреждении возможность оказания необходимой помощи. </w:t>
      </w:r>
    </w:p>
    <w:p w14:paraId="4CE91E34" w14:textId="77777777" w:rsidR="002775B8" w:rsidRDefault="00F70C4E" w:rsidP="00C656C5">
      <w:pPr>
        <w:spacing w:after="0" w:line="240" w:lineRule="auto"/>
        <w:ind w:firstLine="284"/>
        <w:jc w:val="both"/>
      </w:pPr>
      <w:r w:rsidRPr="00F70C4E">
        <w:t xml:space="preserve">Вопрос о сроке, в течение которого несовершеннолетний может содержаться в центре либо на который продлевается его содержание в нем, решается исходя из времени, минимально необходимого для достижения целей помещения в центр, что отражается в мотивировочной части решения суда. </w:t>
      </w:r>
    </w:p>
    <w:p w14:paraId="64066465" w14:textId="77777777" w:rsidR="002775B8" w:rsidRDefault="00F70C4E" w:rsidP="00C656C5">
      <w:pPr>
        <w:spacing w:after="0" w:line="240" w:lineRule="auto"/>
        <w:ind w:firstLine="284"/>
        <w:jc w:val="both"/>
      </w:pPr>
      <w:r w:rsidRPr="00F70C4E">
        <w:t xml:space="preserve">Недопустимо участие в административном деле в качестве законного представителя родителя, который совершил общественно опасное деяние в отношении несовершеннолетнего, совместно с несовершеннолетним. </w:t>
      </w:r>
    </w:p>
    <w:p w14:paraId="6CB19784" w14:textId="26389705" w:rsidR="00D44B35" w:rsidRPr="002775B8" w:rsidRDefault="00F70C4E" w:rsidP="00C656C5">
      <w:pPr>
        <w:spacing w:after="0" w:line="240" w:lineRule="auto"/>
        <w:ind w:firstLine="284"/>
        <w:jc w:val="both"/>
        <w:rPr>
          <w:sz w:val="20"/>
          <w:szCs w:val="20"/>
        </w:rPr>
      </w:pPr>
      <w:r w:rsidRPr="002775B8">
        <w:rPr>
          <w:sz w:val="20"/>
          <w:szCs w:val="20"/>
        </w:rPr>
        <w:t xml:space="preserve">(Постановление Пленума Верховного Суда Российской Федерации от 25 июня 2024 г. № 20 "О некоторых вопросах, возникающих в практике судов общей юрисдикции при рассмотрении административных дел, связанных с пребыванием несовершеннолетнего в центре временного содержания для несовершеннолетних правонарушителей органа внутренних дел, в специальном учебно-воспитательном учреждении закрытого типа (главы 312 и 313 Кодекса административного судопроизводства Российской Федерации)" </w:t>
      </w:r>
    </w:p>
    <w:p w14:paraId="7AAE6A81" w14:textId="77777777" w:rsidR="002775B8" w:rsidRDefault="00F70C4E" w:rsidP="00C656C5">
      <w:pPr>
        <w:spacing w:after="0" w:line="240" w:lineRule="auto"/>
        <w:ind w:firstLine="284"/>
        <w:jc w:val="both"/>
      </w:pPr>
      <w:r w:rsidRPr="00F70C4E">
        <w:t xml:space="preserve">3. Пленум ВС разъяснил, когда водитель может покинуть место ДТП. </w:t>
      </w:r>
    </w:p>
    <w:p w14:paraId="6D3294DB" w14:textId="77777777" w:rsidR="002775B8" w:rsidRDefault="00F70C4E" w:rsidP="00C656C5">
      <w:pPr>
        <w:spacing w:after="0" w:line="240" w:lineRule="auto"/>
        <w:ind w:firstLine="284"/>
        <w:jc w:val="both"/>
      </w:pPr>
      <w:r w:rsidRPr="00F70C4E">
        <w:t>Ответственность наступает при совершении нарушения не только на дороге, но и в пределах обустроенных или специально приспособленных для движения транспорта полос земли, искусственных сооружений, прилегающих к ним территорий (во дворах МКД, в коттеджных поселках, на автостоянках, АЗС, территориях организаций), в лесу, в поле, на льду.</w:t>
      </w:r>
    </w:p>
    <w:p w14:paraId="4434752D" w14:textId="77777777" w:rsidR="002775B8" w:rsidRDefault="00F70C4E" w:rsidP="00C656C5">
      <w:pPr>
        <w:spacing w:after="0" w:line="240" w:lineRule="auto"/>
        <w:ind w:firstLine="284"/>
        <w:jc w:val="both"/>
      </w:pPr>
      <w:r w:rsidRPr="00F70C4E">
        <w:t xml:space="preserve"> Оставление водителем места преступления может квалифицироваться по совокупности преступлений, если водитель осознавал, что оставляет в опасности пострадавшего. Отягчающим обстоятельством может быть алкогольное опьянение водителя. </w:t>
      </w:r>
    </w:p>
    <w:p w14:paraId="6B5EC31A" w14:textId="77777777" w:rsidR="002775B8" w:rsidRDefault="00F70C4E" w:rsidP="00C656C5">
      <w:pPr>
        <w:spacing w:after="0" w:line="240" w:lineRule="auto"/>
        <w:ind w:firstLine="284"/>
        <w:jc w:val="both"/>
      </w:pPr>
      <w:r w:rsidRPr="00F70C4E">
        <w:t xml:space="preserve">Помощь пострадавшему в госпитализации не считается оставлением места ДТП, если это было вызвано необходимостью и не было иной возможности довезти пострадавшего к врачу. </w:t>
      </w:r>
    </w:p>
    <w:p w14:paraId="2D94984E" w14:textId="77777777" w:rsidR="002775B8" w:rsidRDefault="00F70C4E" w:rsidP="00C656C5">
      <w:pPr>
        <w:spacing w:after="0" w:line="240" w:lineRule="auto"/>
        <w:ind w:firstLine="284"/>
        <w:jc w:val="both"/>
      </w:pPr>
      <w:r w:rsidRPr="00F70C4E">
        <w:t xml:space="preserve">Также ВС внес некоторые уточнения и в постановление об </w:t>
      </w:r>
      <w:proofErr w:type="spellStart"/>
      <w:r w:rsidR="00F60477" w:rsidRPr="00F70C4E">
        <w:t>условнодосрочном</w:t>
      </w:r>
      <w:proofErr w:type="spellEnd"/>
      <w:r w:rsidRPr="00F70C4E">
        <w:t xml:space="preserve"> освобождении. </w:t>
      </w:r>
    </w:p>
    <w:p w14:paraId="7A1E4F64" w14:textId="77777777" w:rsidR="002775B8" w:rsidRDefault="00F70C4E" w:rsidP="00C656C5">
      <w:pPr>
        <w:spacing w:after="0" w:line="240" w:lineRule="auto"/>
        <w:ind w:firstLine="284"/>
        <w:jc w:val="both"/>
      </w:pPr>
      <w:r w:rsidRPr="00F70C4E">
        <w:t xml:space="preserve">Если неотбытая часть наказания заменена принудительными работами, то срок для УДО исчисляется с момента начала отбывания лишения свободы. </w:t>
      </w:r>
    </w:p>
    <w:p w14:paraId="2BCE49CB" w14:textId="38A3AC85" w:rsidR="00F60477" w:rsidRPr="002775B8" w:rsidRDefault="00F70C4E" w:rsidP="00C656C5">
      <w:pPr>
        <w:spacing w:after="0" w:line="240" w:lineRule="auto"/>
        <w:ind w:firstLine="284"/>
        <w:jc w:val="both"/>
        <w:rPr>
          <w:sz w:val="20"/>
          <w:szCs w:val="20"/>
        </w:rPr>
      </w:pPr>
      <w:r w:rsidRPr="002775B8">
        <w:rPr>
          <w:sz w:val="20"/>
          <w:szCs w:val="20"/>
        </w:rPr>
        <w:t xml:space="preserve">(Постановление Пленума Верховного Суда Российской Федерации от 25 июня 2024 г. № 21 "О внесении изменений в отдельные постановления Пленума Верховного Суда Российской Федерации по уголовным делам") </w:t>
      </w:r>
    </w:p>
    <w:p w14:paraId="4F03A3E1" w14:textId="77777777" w:rsidR="002775B8" w:rsidRDefault="00F70C4E" w:rsidP="00C656C5">
      <w:pPr>
        <w:spacing w:after="0" w:line="240" w:lineRule="auto"/>
        <w:ind w:firstLine="284"/>
        <w:jc w:val="both"/>
      </w:pPr>
      <w:r w:rsidRPr="00F70C4E">
        <w:t xml:space="preserve">4. Пленум ВС разъяснил правила добровольного страхования имущества. </w:t>
      </w:r>
    </w:p>
    <w:p w14:paraId="3BB71C93" w14:textId="77777777" w:rsidR="002775B8" w:rsidRDefault="00F70C4E" w:rsidP="00C656C5">
      <w:pPr>
        <w:spacing w:after="0" w:line="240" w:lineRule="auto"/>
        <w:ind w:firstLine="284"/>
        <w:jc w:val="both"/>
      </w:pPr>
      <w:r w:rsidRPr="00F70C4E">
        <w:lastRenderedPageBreak/>
        <w:t xml:space="preserve">Отказ в выплате страховки должен быть обоснован. Запрещен отказ из-за непредставления страхователем отдельных документов, если решение о выплате можно принять без них. Нельзя отказать в страховке, если страхователь не обжаловал отказ в возбуждении уголовного дела по факту ущерба. </w:t>
      </w:r>
    </w:p>
    <w:p w14:paraId="1A651787" w14:textId="77777777" w:rsidR="002775B8" w:rsidRDefault="00F70C4E" w:rsidP="00C656C5">
      <w:pPr>
        <w:spacing w:after="0" w:line="240" w:lineRule="auto"/>
        <w:ind w:firstLine="284"/>
        <w:jc w:val="both"/>
      </w:pPr>
      <w:r w:rsidRPr="00F70C4E">
        <w:t xml:space="preserve">Не страхуются противоправные интересы, убытки от участия в играх, лотереях и пари, а также расходы, к которым лицо может быть принуждено для освобождения заложников. </w:t>
      </w:r>
    </w:p>
    <w:p w14:paraId="5D524A29" w14:textId="77777777" w:rsidR="002775B8" w:rsidRDefault="00F70C4E" w:rsidP="00C656C5">
      <w:pPr>
        <w:spacing w:after="0" w:line="240" w:lineRule="auto"/>
        <w:ind w:firstLine="284"/>
        <w:jc w:val="both"/>
      </w:pPr>
      <w:r w:rsidRPr="00F70C4E">
        <w:t xml:space="preserve">Неправильное оформление прав на объект страхования (отсутствие разрешения на строительство) еще не свидетельствует о страховании противоправного интереса. </w:t>
      </w:r>
    </w:p>
    <w:p w14:paraId="7BF9E432" w14:textId="38F3EBAD" w:rsidR="00F60477" w:rsidRDefault="00F70C4E" w:rsidP="00C656C5">
      <w:pPr>
        <w:spacing w:after="0" w:line="240" w:lineRule="auto"/>
        <w:ind w:firstLine="284"/>
        <w:jc w:val="both"/>
      </w:pPr>
      <w:r w:rsidRPr="00F70C4E">
        <w:t>Разъяснен порядок заключения электронного договора со страхователем</w:t>
      </w:r>
      <w:r w:rsidR="002775B8">
        <w:t>-</w:t>
      </w:r>
      <w:r w:rsidRPr="00F70C4E">
        <w:t xml:space="preserve">физлицом. Договор считается заключенным на условиях страховщика после уплаты страховой премии (взноса). Уплатой также подтверждается согласие страхователя с условиями страхования. </w:t>
      </w:r>
    </w:p>
    <w:p w14:paraId="66FD3CE0" w14:textId="77777777" w:rsidR="002775B8" w:rsidRDefault="00F70C4E" w:rsidP="00C656C5">
      <w:pPr>
        <w:spacing w:after="0" w:line="240" w:lineRule="auto"/>
        <w:ind w:firstLine="284"/>
        <w:jc w:val="both"/>
      </w:pPr>
      <w:r w:rsidRPr="00F70C4E">
        <w:t xml:space="preserve"> Уточнены обстоятельства, при наступлении которых страхователь вправе отказаться от договора.</w:t>
      </w:r>
    </w:p>
    <w:p w14:paraId="77FF079A" w14:textId="77777777" w:rsidR="002775B8" w:rsidRDefault="00F70C4E" w:rsidP="00C656C5">
      <w:pPr>
        <w:spacing w:after="0" w:line="240" w:lineRule="auto"/>
        <w:ind w:firstLine="284"/>
        <w:jc w:val="both"/>
      </w:pPr>
      <w:r w:rsidRPr="00F70C4E">
        <w:t xml:space="preserve">Разъяснены условия оспаривания договора страховщиком, которому страхователь предоставил ложные сведения или не сообщил о существенных обстоятельствах. Если один из сособственников застраховал имущество на полную стоимость и получил выплату при наступлении страхового случая, другие сособственники могут обратиться к нему и потребовать часть полученного возмещения, соответствующую их доле. </w:t>
      </w:r>
    </w:p>
    <w:p w14:paraId="09D82EA1" w14:textId="77777777" w:rsidR="002775B8" w:rsidRDefault="00F70C4E" w:rsidP="00C656C5">
      <w:pPr>
        <w:spacing w:after="0" w:line="240" w:lineRule="auto"/>
        <w:ind w:firstLine="284"/>
        <w:jc w:val="both"/>
      </w:pPr>
      <w:r w:rsidRPr="00F70C4E">
        <w:t xml:space="preserve">Намеренный недопуск экспертов к поврежденному имуществу освобождает страховщика от штрафных санкций или компенсации морального вреда. Суд может уменьшить его ответственность, если клиент содействовал увеличению убытков или не принял разумных мер к их уменьшению. </w:t>
      </w:r>
    </w:p>
    <w:p w14:paraId="142F4A92" w14:textId="77777777" w:rsidR="002775B8" w:rsidRDefault="00F70C4E" w:rsidP="00C656C5">
      <w:pPr>
        <w:spacing w:after="0" w:line="240" w:lineRule="auto"/>
        <w:ind w:firstLine="284"/>
        <w:jc w:val="both"/>
      </w:pPr>
      <w:r w:rsidRPr="00F70C4E">
        <w:t xml:space="preserve">Разъяснены условия и сроки отказа клиента от договора и его права на возврат части уплаченной премии. Уточнены нюансы страхования имущества, приобретаемого на кредитные средства. Определен размер страховки при гибели транспортного средства. </w:t>
      </w:r>
    </w:p>
    <w:p w14:paraId="13CFBC15" w14:textId="77777777" w:rsidR="002775B8" w:rsidRDefault="00F70C4E" w:rsidP="00C656C5">
      <w:pPr>
        <w:spacing w:after="0" w:line="240" w:lineRule="auto"/>
        <w:ind w:firstLine="284"/>
        <w:jc w:val="both"/>
      </w:pPr>
      <w:r w:rsidRPr="002775B8">
        <w:rPr>
          <w:sz w:val="20"/>
          <w:szCs w:val="20"/>
        </w:rPr>
        <w:t>(Постановление Пленума Верховного Суда Российской Федерации от 25 июня 2024 г. № 19 "О применении судами законодательства о добровольном страховании имущества")</w:t>
      </w:r>
      <w:r w:rsidRPr="00F70C4E">
        <w:t xml:space="preserve"> </w:t>
      </w:r>
    </w:p>
    <w:p w14:paraId="6113188D" w14:textId="77777777" w:rsidR="002775B8" w:rsidRDefault="00F70C4E" w:rsidP="002775B8">
      <w:pPr>
        <w:spacing w:after="0" w:line="240" w:lineRule="auto"/>
        <w:ind w:firstLine="284"/>
        <w:jc w:val="both"/>
      </w:pPr>
      <w:r w:rsidRPr="00F70C4E">
        <w:t>5. Верховный Суд разъяснил особенности назначения условного осуждения, его отмены, продления испытательного срока.</w:t>
      </w:r>
    </w:p>
    <w:p w14:paraId="3F4A45D7" w14:textId="77777777" w:rsidR="002775B8" w:rsidRDefault="00F70C4E" w:rsidP="002775B8">
      <w:pPr>
        <w:spacing w:after="0" w:line="240" w:lineRule="auto"/>
        <w:ind w:firstLine="284"/>
        <w:jc w:val="both"/>
      </w:pPr>
      <w:r w:rsidRPr="00F70C4E">
        <w:t xml:space="preserve">Цель назначения условного осуждения </w:t>
      </w:r>
      <w:r w:rsidR="002775B8" w:rsidRPr="00F70C4E">
        <w:t>— это</w:t>
      </w:r>
      <w:r w:rsidRPr="00F70C4E">
        <w:t xml:space="preserve"> исправление лица в течение испытательного срока без реального отбывания основного наказания. Об исправлении могут свидетельствовать в т. ч. положительные характеристики с места жительства, учебы, работы или службы, участие в благотворительных, волонтерских организациях, патриотических движениях, в боевых действиях. Также нужно возместить причиненный преступлением вред. Отсутствие у осужденного денежных средств не является уважительной причиной для </w:t>
      </w:r>
      <w:proofErr w:type="spellStart"/>
      <w:r w:rsidRPr="00F70C4E">
        <w:t>невозмещения</w:t>
      </w:r>
      <w:proofErr w:type="spellEnd"/>
      <w:r w:rsidRPr="00F70C4E">
        <w:t xml:space="preserve"> вреда. Уважительными причинами могут считаться возникшие после постановления приговора обстоятельства, из-за которых гражданин лишен возможности в течение испытательного срока возместить вред (например, длительная нетрудоспособность, невыплата зарплаты, утрата заработка или имущества по независящим от осужденного обстоятельствам). </w:t>
      </w:r>
    </w:p>
    <w:p w14:paraId="2BFB73BA" w14:textId="77777777" w:rsidR="002775B8" w:rsidRDefault="00F70C4E" w:rsidP="002775B8">
      <w:pPr>
        <w:spacing w:after="0" w:line="240" w:lineRule="auto"/>
        <w:ind w:firstLine="284"/>
        <w:jc w:val="both"/>
      </w:pPr>
      <w:r w:rsidRPr="00F70C4E">
        <w:t xml:space="preserve">Отмена условного осуждения возможна по истечении не менее половины установленного испытательного срока, если гражданин доказал свое исправление, возместил вред. При рассмотрении данного вопроса в отношении лица, которому назначен дополнительный вид наказания и который до истечения испытательного срока своим поведением доказал исправление, суд принимает решение об отмене условного осуждения и о снятии судимости лишь после отбытия им дополнительного наказания. </w:t>
      </w:r>
    </w:p>
    <w:p w14:paraId="0DEB4877" w14:textId="4694854B" w:rsidR="002775B8" w:rsidRDefault="00F70C4E" w:rsidP="002775B8">
      <w:pPr>
        <w:spacing w:after="0" w:line="240" w:lineRule="auto"/>
        <w:ind w:firstLine="284"/>
        <w:jc w:val="both"/>
      </w:pPr>
      <w:r w:rsidRPr="00F70C4E">
        <w:t xml:space="preserve">Основанием для продления условно осужденному испытательного срока может являться как одно из допущенных им нарушений, перечисленных в УК РФ, так и совокупность таких нарушений. Если гражданин в течение испытательного срока, в т. ч. установленного в максимальном пределе, уклонился от исполнения обязанностей, от возмещения вреда либо нарушил общественный порядок, то суд продлевает испытательный срок. С </w:t>
      </w:r>
      <w:r w:rsidR="002775B8" w:rsidRPr="00F70C4E">
        <w:t>учетом поведения</w:t>
      </w:r>
      <w:r w:rsidRPr="00F70C4E">
        <w:t xml:space="preserve"> осужденного и других данных, характеризующих его личность, допускается выйти за пределы максимального срока, но не более чем на 1 год. Можно продлить испытательный срок более одного раза, если общий срок продления не превышает 1 года. Скрывающимся от контроля признается условно осужденный, место нахождения которого не установлено в течение более 30 дней. В таком случае принимается решение об отмене условного осуждения и исполнении наказания. Решение может быть принято без участия лица, но с обязательным участием адвоката. Ранее выпущенные разъяснения признаны утратившими силу. </w:t>
      </w:r>
    </w:p>
    <w:p w14:paraId="505E78CE" w14:textId="77777777" w:rsidR="002775B8" w:rsidRDefault="00F70C4E" w:rsidP="002775B8">
      <w:pPr>
        <w:spacing w:after="0" w:line="240" w:lineRule="auto"/>
        <w:ind w:firstLine="284"/>
        <w:jc w:val="both"/>
      </w:pPr>
      <w:r w:rsidRPr="002775B8">
        <w:rPr>
          <w:sz w:val="20"/>
          <w:szCs w:val="20"/>
        </w:rPr>
        <w:t>(Постановление Пленума Верховного Суда Российской Федерации от 25 июня 2024 г. № 18 "О судебной практике отмены условного осуждения или продления испытательного срока")</w:t>
      </w:r>
      <w:r w:rsidRPr="00F70C4E">
        <w:t xml:space="preserve"> </w:t>
      </w:r>
    </w:p>
    <w:p w14:paraId="57761605" w14:textId="77777777" w:rsidR="002775B8" w:rsidRDefault="00F70C4E" w:rsidP="002775B8">
      <w:pPr>
        <w:spacing w:after="0" w:line="240" w:lineRule="auto"/>
        <w:ind w:firstLine="284"/>
        <w:jc w:val="both"/>
      </w:pPr>
      <w:r w:rsidRPr="00F70C4E">
        <w:t xml:space="preserve">6. Пленум ВС дал разъяснения о нарушениях </w:t>
      </w:r>
      <w:proofErr w:type="spellStart"/>
      <w:r w:rsidRPr="00F70C4E">
        <w:t>информобеспечения</w:t>
      </w:r>
      <w:proofErr w:type="spellEnd"/>
      <w:r w:rsidRPr="00F70C4E">
        <w:t xml:space="preserve"> выборов. </w:t>
      </w:r>
    </w:p>
    <w:p w14:paraId="3903CB38" w14:textId="77777777" w:rsidR="002775B8" w:rsidRDefault="00F70C4E" w:rsidP="002775B8">
      <w:pPr>
        <w:spacing w:after="0" w:line="240" w:lineRule="auto"/>
        <w:ind w:firstLine="284"/>
        <w:jc w:val="both"/>
      </w:pPr>
      <w:r w:rsidRPr="00F70C4E">
        <w:t xml:space="preserve">Граждане, не являющиеся кандидатами и не уполномоченные выступать от кандидатов, избирательных объединений, не вправе проводить агитацию, требующую финансовых затрат и не оплаченную из избирательного фонда. При этом безвозмездные услуги без привлечения третьих лиц не образуют состава правонарушения. </w:t>
      </w:r>
    </w:p>
    <w:p w14:paraId="21283494" w14:textId="77777777" w:rsidR="0019151F" w:rsidRDefault="00F70C4E" w:rsidP="002775B8">
      <w:pPr>
        <w:spacing w:after="0" w:line="240" w:lineRule="auto"/>
        <w:ind w:firstLine="284"/>
        <w:jc w:val="both"/>
      </w:pPr>
      <w:r w:rsidRPr="00F70C4E">
        <w:lastRenderedPageBreak/>
        <w:t xml:space="preserve">Разъяснена разница между СМИ и организациями, выпускающими СМИ. Субъект ответственности - главный редактор, редакция СМИ, организация, осуществляющая теле- или радиовещание, выпуск или распространение СМИ, лица, нарушившие порядок опубликования материалов в Интернете в период избирательной кампании. При этом администрации соцсетей к субъектам правонарушения не относятся. </w:t>
      </w:r>
    </w:p>
    <w:p w14:paraId="2C219363" w14:textId="77777777" w:rsidR="0019151F" w:rsidRDefault="00F70C4E" w:rsidP="002775B8">
      <w:pPr>
        <w:spacing w:after="0" w:line="240" w:lineRule="auto"/>
        <w:ind w:firstLine="284"/>
        <w:jc w:val="both"/>
      </w:pPr>
      <w:r w:rsidRPr="00F70C4E">
        <w:t xml:space="preserve">Госслужащим запрещено проводить предвыборную агитацию. При выпуске агитматериалов по референдуму лицам, замещающим государственные или выборные муниципальные должности, нельзя использовать преимущества своего должностного или служебного положения. </w:t>
      </w:r>
    </w:p>
    <w:p w14:paraId="2CEC9073" w14:textId="77777777" w:rsidR="0019151F" w:rsidRDefault="00F70C4E" w:rsidP="002775B8">
      <w:pPr>
        <w:spacing w:after="0" w:line="240" w:lineRule="auto"/>
        <w:ind w:firstLine="284"/>
        <w:jc w:val="both"/>
      </w:pPr>
      <w:proofErr w:type="spellStart"/>
      <w:r w:rsidRPr="00F70C4E">
        <w:t>Иноагенты</w:t>
      </w:r>
      <w:proofErr w:type="spellEnd"/>
      <w:r w:rsidRPr="00F70C4E">
        <w:t xml:space="preserve"> не могут быть заказчиками, изготовителями и распространителями агитационных материалов. Наравне с ними ответственность несут их исполнители. </w:t>
      </w:r>
    </w:p>
    <w:p w14:paraId="45EFEA95" w14:textId="77777777" w:rsidR="0019151F" w:rsidRDefault="00F70C4E" w:rsidP="002775B8">
      <w:pPr>
        <w:spacing w:after="0" w:line="240" w:lineRule="auto"/>
        <w:ind w:firstLine="284"/>
        <w:jc w:val="both"/>
      </w:pPr>
      <w:r w:rsidRPr="00F70C4E">
        <w:t xml:space="preserve">Исполнители должны обеспечивать кандидатам, избирательным объединениям равные условия оплаты изготовления печатных агитационных материалов. </w:t>
      </w:r>
    </w:p>
    <w:p w14:paraId="4ED66E1E" w14:textId="77777777" w:rsidR="0019151F" w:rsidRDefault="00F70C4E" w:rsidP="002775B8">
      <w:pPr>
        <w:spacing w:after="0" w:line="240" w:lineRule="auto"/>
        <w:ind w:firstLine="284"/>
        <w:jc w:val="both"/>
      </w:pPr>
      <w:r w:rsidRPr="00F70C4E">
        <w:t xml:space="preserve">Определена ответственность изготовителей и распространителей фейковой информации, в т. ч. созданной с помощью компьютерных технологий. </w:t>
      </w:r>
    </w:p>
    <w:p w14:paraId="4DB07C75" w14:textId="77777777" w:rsidR="0019151F" w:rsidRDefault="00F70C4E" w:rsidP="002775B8">
      <w:pPr>
        <w:spacing w:after="0" w:line="240" w:lineRule="auto"/>
        <w:ind w:firstLine="284"/>
        <w:jc w:val="both"/>
      </w:pPr>
      <w:r w:rsidRPr="00F70C4E">
        <w:t xml:space="preserve">Агитационные материалы можно размещать в специальных местах на избирательных участках, а также на рекламных конструкциях зданий без согласия собственника, заключившего договор с владельцем такой конструкции. Запрещено располагать их на памятниках, обелисках, объектах, имеющих историческую, культурную или архитектурную ценность, в зданиях избиркомов, помещениях для голосования и ближе 50 м от входа в них. </w:t>
      </w:r>
    </w:p>
    <w:p w14:paraId="50276C36" w14:textId="5211AC62" w:rsidR="008B4988" w:rsidRDefault="00F70C4E" w:rsidP="002775B8">
      <w:pPr>
        <w:spacing w:after="0" w:line="240" w:lineRule="auto"/>
        <w:ind w:firstLine="284"/>
        <w:jc w:val="both"/>
        <w:rPr>
          <w:sz w:val="20"/>
          <w:szCs w:val="20"/>
        </w:rPr>
      </w:pPr>
      <w:r w:rsidRPr="0019151F">
        <w:rPr>
          <w:sz w:val="20"/>
          <w:szCs w:val="20"/>
        </w:rPr>
        <w:t xml:space="preserve">(Постановление Пленума Верховного Суда Российской Федерации от 25 июня 2024 г. № 17 "Об отдельных вопросах, возникающих у судов </w:t>
      </w:r>
      <w:r w:rsidR="0019151F" w:rsidRPr="0019151F">
        <w:rPr>
          <w:sz w:val="20"/>
          <w:szCs w:val="20"/>
        </w:rPr>
        <w:t>при рассмотрении,</w:t>
      </w:r>
      <w:r w:rsidRPr="0019151F">
        <w:rPr>
          <w:sz w:val="20"/>
          <w:szCs w:val="20"/>
        </w:rPr>
        <w:t xml:space="preserve"> дел об 5 административных правонарушениях, посягающих на установленный порядок информационного обеспечения выборов и референдумов")</w:t>
      </w:r>
    </w:p>
    <w:p w14:paraId="47CCCC21" w14:textId="77777777" w:rsidR="0019151F" w:rsidRPr="0019151F" w:rsidRDefault="0019151F" w:rsidP="002775B8">
      <w:pPr>
        <w:spacing w:after="0" w:line="240" w:lineRule="auto"/>
        <w:ind w:firstLine="284"/>
        <w:jc w:val="both"/>
        <w:rPr>
          <w:sz w:val="20"/>
          <w:szCs w:val="20"/>
        </w:rPr>
      </w:pPr>
    </w:p>
    <w:p w14:paraId="5A2147CF" w14:textId="24C199E0" w:rsidR="00A3336E" w:rsidRPr="006C5876" w:rsidRDefault="00A3336E" w:rsidP="00C656C5">
      <w:pPr>
        <w:spacing w:after="0" w:line="240" w:lineRule="auto"/>
        <w:ind w:firstLine="284"/>
        <w:jc w:val="both"/>
      </w:pPr>
      <w:r>
        <w:t xml:space="preserve">Помощник прокурора </w:t>
      </w:r>
      <w:proofErr w:type="spellStart"/>
      <w:r>
        <w:t>Курагинского</w:t>
      </w:r>
      <w:proofErr w:type="spellEnd"/>
      <w:r>
        <w:t xml:space="preserve"> района Екатерина Миськова</w:t>
      </w:r>
    </w:p>
    <w:sectPr w:rsidR="00A3336E" w:rsidRPr="006C5876" w:rsidSect="00985FC2">
      <w:pgSz w:w="11906" w:h="16838"/>
      <w:pgMar w:top="567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140"/>
    <w:rsid w:val="000F547B"/>
    <w:rsid w:val="00125D84"/>
    <w:rsid w:val="0019151F"/>
    <w:rsid w:val="002775B8"/>
    <w:rsid w:val="00335420"/>
    <w:rsid w:val="003473BE"/>
    <w:rsid w:val="00351540"/>
    <w:rsid w:val="00380B09"/>
    <w:rsid w:val="004635D0"/>
    <w:rsid w:val="00484E08"/>
    <w:rsid w:val="004D732B"/>
    <w:rsid w:val="004E27FF"/>
    <w:rsid w:val="005202F9"/>
    <w:rsid w:val="005A0140"/>
    <w:rsid w:val="005C3D27"/>
    <w:rsid w:val="005F3756"/>
    <w:rsid w:val="00615822"/>
    <w:rsid w:val="00623F53"/>
    <w:rsid w:val="00667F26"/>
    <w:rsid w:val="006C5876"/>
    <w:rsid w:val="006C5E7F"/>
    <w:rsid w:val="008019FD"/>
    <w:rsid w:val="00865E12"/>
    <w:rsid w:val="008875F2"/>
    <w:rsid w:val="008B4988"/>
    <w:rsid w:val="00982D16"/>
    <w:rsid w:val="00985FC2"/>
    <w:rsid w:val="00A3336E"/>
    <w:rsid w:val="00AF0634"/>
    <w:rsid w:val="00BA090A"/>
    <w:rsid w:val="00BC1454"/>
    <w:rsid w:val="00C305E3"/>
    <w:rsid w:val="00C624DB"/>
    <w:rsid w:val="00C656C5"/>
    <w:rsid w:val="00C916E0"/>
    <w:rsid w:val="00CB2EFE"/>
    <w:rsid w:val="00CD59F2"/>
    <w:rsid w:val="00D44B35"/>
    <w:rsid w:val="00DF4E62"/>
    <w:rsid w:val="00EA49DC"/>
    <w:rsid w:val="00F0146E"/>
    <w:rsid w:val="00F032DF"/>
    <w:rsid w:val="00F14EA8"/>
    <w:rsid w:val="00F500E9"/>
    <w:rsid w:val="00F51DC0"/>
    <w:rsid w:val="00F60477"/>
    <w:rsid w:val="00F61BA0"/>
    <w:rsid w:val="00F70C4E"/>
    <w:rsid w:val="00FA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6FE1D"/>
  <w15:chartTrackingRefBased/>
  <w15:docId w15:val="{C589FF84-9B07-4046-8577-033D8778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1752</Words>
  <Characters>9990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Миськова Екатерина Евгеньевна</dc:creator>
  <cp:keywords/>
  <dc:description/>
  <cp:lastModifiedBy>Миськова Екатерина Евгеньевна</cp:lastModifiedBy>
  <cp:revision>3</cp:revision>
  <dcterms:created xsi:type="dcterms:W3CDTF">2024-07-12T05:07:00Z</dcterms:created>
  <dcterms:modified xsi:type="dcterms:W3CDTF">2024-07-12T05:10:00Z</dcterms:modified>
</cp:coreProperties>
</file>