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AEBC" w14:textId="76EE68D3" w:rsidR="00647F78" w:rsidRDefault="00647F78" w:rsidP="002775B8">
      <w:pPr>
        <w:spacing w:after="0" w:line="240" w:lineRule="auto"/>
        <w:ind w:firstLine="284"/>
        <w:jc w:val="both"/>
      </w:pPr>
      <w:r w:rsidRPr="00647F78">
        <w:rPr>
          <w:b/>
          <w:u w:val="single"/>
        </w:rPr>
        <w:t xml:space="preserve">Обзор нормативно-правовых актов за период с </w:t>
      </w:r>
      <w:r w:rsidR="000326A4" w:rsidRPr="000326A4">
        <w:rPr>
          <w:b/>
          <w:u w:val="single"/>
        </w:rPr>
        <w:t xml:space="preserve">30 </w:t>
      </w:r>
      <w:r w:rsidR="000326A4">
        <w:rPr>
          <w:b/>
          <w:u w:val="single"/>
        </w:rPr>
        <w:t>ноября</w:t>
      </w:r>
      <w:r w:rsidRPr="00647F78">
        <w:rPr>
          <w:b/>
          <w:u w:val="single"/>
        </w:rPr>
        <w:t xml:space="preserve"> по </w:t>
      </w:r>
      <w:r w:rsidR="000326A4">
        <w:rPr>
          <w:b/>
          <w:u w:val="single"/>
        </w:rPr>
        <w:t xml:space="preserve">6 декабря </w:t>
      </w:r>
      <w:r w:rsidRPr="00647F78">
        <w:rPr>
          <w:b/>
          <w:u w:val="single"/>
        </w:rPr>
        <w:t>2024 г.</w:t>
      </w:r>
      <w:r>
        <w:t xml:space="preserve"> </w:t>
      </w:r>
    </w:p>
    <w:p w14:paraId="6EF3E18D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rPr>
          <w:i/>
        </w:rPr>
        <w:t>1. Указ Президента РФ от 04.12.2024 № 1023 «О внесении изменения в Указ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</w:t>
      </w:r>
      <w:r w:rsidRPr="00CD6628">
        <w:t xml:space="preserve"> </w:t>
      </w:r>
    </w:p>
    <w:p w14:paraId="7569D22E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Уточнен порядок осуществления Государственным фондом поддержки участников специальной военной операции «Защитники Отечества» единовременной выплаты при получении ими увечья (ранения, травмы, контузии). </w:t>
      </w:r>
    </w:p>
    <w:p w14:paraId="5FA743B0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Установлено, что Фонд осуществляет единовременную выплату в соответствии с пунктом 2 Указа Президента РФ от 14 ноября 2024 г. № 968 «О дополнительных социальных гарантиях отдельным категориям лиц», согласно которому в случае если увечье (ранение, травма, контузия), повлекшее за собой наступление инвалидности, получено в период с 24 февраля 2022 г. до даты вступления в силу данного Указа, установленная им единовременная выплата производится Фондом с учетом единовременной выплаты, произведенной при получении этого увечья (ранения, травмы, контузии). </w:t>
      </w:r>
    </w:p>
    <w:p w14:paraId="63793C9D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rPr>
          <w:i/>
        </w:rPr>
        <w:t>2. Федеральный закон от 30.11.2024 № 438-ФЗ «О внесении изменений в отдельные законодательные акты Российской Федерации»</w:t>
      </w:r>
      <w:r w:rsidRPr="00CD6628">
        <w:t xml:space="preserve"> </w:t>
      </w:r>
    </w:p>
    <w:p w14:paraId="3D329E45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Запрещается продажа детям товаров бытового назначения, содержащих сжиженные углеводородные </w:t>
      </w:r>
      <w:proofErr w:type="spellStart"/>
      <w:r w:rsidRPr="00CD6628">
        <w:t>газы</w:t>
      </w:r>
      <w:proofErr w:type="spellEnd"/>
      <w:r w:rsidRPr="00CD6628">
        <w:t xml:space="preserve">. </w:t>
      </w:r>
    </w:p>
    <w:p w14:paraId="3319FD31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Подписанным законом запрещается продажа (в том числе дистанционным способом) несовершеннолетним потенциально опасных газосодержащих товаров бытового назначения. Перечень таких товаров установит Правительство. </w:t>
      </w:r>
    </w:p>
    <w:p w14:paraId="036A91D3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Закреплено, что 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этом удостовериться. </w:t>
      </w:r>
    </w:p>
    <w:p w14:paraId="160E0953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Настоящий Федеральный закон вступает в силу с 1 марта 2025 года. </w:t>
      </w:r>
    </w:p>
    <w:p w14:paraId="11DB08E8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rPr>
          <w:i/>
        </w:rPr>
        <w:t>3. Федеральный закон от 30.11.2024 № 439-ФЗ «О внесении изменений в статью 43.2 Федерального закона «О рыболовстве и сохранении водных биологических ресурсов»</w:t>
      </w:r>
      <w:r w:rsidRPr="00CD6628">
        <w:t xml:space="preserve"> </w:t>
      </w:r>
    </w:p>
    <w:p w14:paraId="3A4C57A1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 </w:t>
      </w:r>
    </w:p>
    <w:p w14:paraId="005F42BA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Положением о федеральном государственном контроле (надзоре) в области рыболовства и сохранения водных биоресурсов устанавливается порядок его осуществления в рамках постоянного рейда. </w:t>
      </w:r>
    </w:p>
    <w:p w14:paraId="74B7231C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Настоящий Федеральный закон вступает в силу по истечении девяноста дней после дня его официального опубликования. </w:t>
      </w:r>
    </w:p>
    <w:p w14:paraId="7170D02D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 </w:t>
      </w:r>
      <w:r w:rsidRPr="00CD6628">
        <w:rPr>
          <w:i/>
        </w:rPr>
        <w:t>4. Федеральный закон от 30.11.2024 № 440-ФЗ «О внесении изменений в статью 8.52 Кодекса Российской Федерации об административных правонарушениях»</w:t>
      </w:r>
      <w:r w:rsidRPr="00CD6628">
        <w:t xml:space="preserve"> </w:t>
      </w:r>
    </w:p>
    <w:p w14:paraId="696BF723" w14:textId="77777777" w:rsidR="00CD6628" w:rsidRDefault="00CD6628" w:rsidP="002775B8">
      <w:pPr>
        <w:spacing w:after="0" w:line="240" w:lineRule="auto"/>
        <w:ind w:firstLine="284"/>
        <w:jc w:val="both"/>
      </w:pPr>
      <w:r w:rsidRPr="00CD6628">
        <w:t xml:space="preserve">Установлена административная ответственность за несоблюдение требований к содержанию домашних животных. </w:t>
      </w:r>
    </w:p>
    <w:p w14:paraId="611851DD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Необходимые изменения внесены в статью 8.52 КоАП РФ, санкцией которой за соответствующее правонарушение предусмотрены предупреждение или штраф. </w:t>
      </w:r>
    </w:p>
    <w:p w14:paraId="6FFA25F2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Так, за несоблюдение требований к содержанию домашних животных административный штраф для граждан составит от 1500 до 3000 рублей, для должностных лиц - от 5000 до 15000 рублей, для юрлиц - от 15000 до 30000 рублей. </w:t>
      </w:r>
    </w:p>
    <w:p w14:paraId="7CC4B44D" w14:textId="77777777" w:rsidR="008A4626" w:rsidRDefault="00CD6628" w:rsidP="002775B8">
      <w:pPr>
        <w:spacing w:after="0" w:line="240" w:lineRule="auto"/>
        <w:ind w:firstLine="284"/>
        <w:jc w:val="both"/>
      </w:pPr>
      <w:r w:rsidRPr="008A4626">
        <w:rPr>
          <w:i/>
        </w:rPr>
        <w:t>5. Федеральный закон от 30.11.2024 № 441-ФЗ «О внесении изменений в Федеральный закон «О защите и поощрении капиталовложений в Российской Федерации»</w:t>
      </w:r>
      <w:r w:rsidRPr="00CD6628">
        <w:t xml:space="preserve"> </w:t>
      </w:r>
    </w:p>
    <w:p w14:paraId="1F65D73F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>Совершенствуется порядок осуществления инвестиций в рамках соглашений о защите и поощрении капиталовложений</w:t>
      </w:r>
      <w:r w:rsidR="008A4626">
        <w:t>.</w:t>
      </w:r>
    </w:p>
    <w:p w14:paraId="7CC6D217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 Подписанным законом, в частности: </w:t>
      </w:r>
    </w:p>
    <w:p w14:paraId="4EA59D49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вводятся понятия «основной объект инвестиционного проекта» и «меры прямой государственной поддержки»; </w:t>
      </w:r>
    </w:p>
    <w:p w14:paraId="216A5095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предусмотрено, что меры государственной поддержки инвестиционных проектов, осуществляемых в рамках СЗПК, не будут предоставляться российским юрлицам, в уставном (складочном) капитале которых доля прямого или косвенного участия иностранных юрлиц превышает 25 процентов; </w:t>
      </w:r>
    </w:p>
    <w:p w14:paraId="138D25B1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запрещается разрешение споров между сторонами соглашения о защите и поощрении капиталовложений в рамках арбитража (третейского разбирательства); </w:t>
      </w:r>
    </w:p>
    <w:p w14:paraId="7384EBA7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>дополняется перечень случаев, в которых допускается изменение условий соглашения о защите и поощрении капиталовложений.</w:t>
      </w:r>
    </w:p>
    <w:p w14:paraId="451A40A4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 Предусмотрены и иные изменения. </w:t>
      </w:r>
    </w:p>
    <w:p w14:paraId="67E81D3E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lastRenderedPageBreak/>
        <w:t xml:space="preserve">Настоящий Федеральный закон вступает в силу с 1 июля 2025 года, за исключением положения, для которого предусмотрен иной срок его вступления в силу. </w:t>
      </w:r>
    </w:p>
    <w:p w14:paraId="5167B77B" w14:textId="77777777" w:rsidR="008A4626" w:rsidRDefault="00CD6628" w:rsidP="002775B8">
      <w:pPr>
        <w:spacing w:after="0" w:line="240" w:lineRule="auto"/>
        <w:ind w:firstLine="284"/>
        <w:jc w:val="both"/>
      </w:pPr>
      <w:r w:rsidRPr="008A4626">
        <w:rPr>
          <w:i/>
        </w:rPr>
        <w:t>6. Федеральный закон от 30.11.2024 № 444-ФЗ «О внесении изменений в отдельные законодательные акты Российской Федерации»</w:t>
      </w:r>
      <w:r w:rsidRPr="00CD6628">
        <w:t xml:space="preserve"> </w:t>
      </w:r>
    </w:p>
    <w:p w14:paraId="22B17B15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Подписан закон, разрешающий передавать в концессию объекты культурного наследия, находящиеся в неудовлетворительном состоянии. </w:t>
      </w:r>
    </w:p>
    <w:p w14:paraId="5730C2F3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Федеральный закон от 21 июля 2005 года № 115-ФЗ «О концессионных соглашениях» дополнен новой главой, устанавливающей особенности заключения и исполнения концессионных соглашений в отношении объектов культурного наследия, находящихся в неудовлетворительном состоянии. </w:t>
      </w:r>
    </w:p>
    <w:p w14:paraId="0054A245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Предусмотрено, что объектами концессионного соглашения не могут быть мемориальные квартиры, мавзолеи, произведения монументального искусства, а также имущество религиозного назначения. </w:t>
      </w:r>
    </w:p>
    <w:p w14:paraId="7BF4BA81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Также законом запрещается изменение целевого назначения объекта образования, культуры, спорта, объекта, используемого для организации </w:t>
      </w:r>
      <w:proofErr w:type="gramStart"/>
      <w:r w:rsidRPr="00CD6628">
        <w:t>отдыха  граждан</w:t>
      </w:r>
      <w:proofErr w:type="gramEnd"/>
      <w:r w:rsidRPr="00CD6628">
        <w:t xml:space="preserve"> и туризма, иного объекта социально-культурного назначения, входящего в состав объекта культурного наследия, находящегося в неудовлетворительном состоянии, являющегося объектом концессионного соглашения. </w:t>
      </w:r>
    </w:p>
    <w:p w14:paraId="1DD06429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Приводятся существенные условия, которые должно содержать концессионное соглашение, и устанавливается, что оно может быть расторгнуто на основании решения суда в случае,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наследия. </w:t>
      </w:r>
    </w:p>
    <w:p w14:paraId="09F83C83" w14:textId="13361BAC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При выполнении всех предусмотренных законом условий концессионер получит преимущественное право на выкуп объекта концессионного соглашения. </w:t>
      </w:r>
    </w:p>
    <w:p w14:paraId="1F9D9A56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Настоящий Федеральный закон вступает в силу по истечении тридцати дней после дня его официального опубликования. </w:t>
      </w:r>
    </w:p>
    <w:p w14:paraId="548C3C7A" w14:textId="77777777" w:rsidR="008A4626" w:rsidRDefault="00CD6628" w:rsidP="002775B8">
      <w:pPr>
        <w:spacing w:after="0" w:line="240" w:lineRule="auto"/>
        <w:ind w:firstLine="284"/>
        <w:jc w:val="both"/>
      </w:pPr>
      <w:r w:rsidRPr="008A4626">
        <w:rPr>
          <w:i/>
        </w:rPr>
        <w:t>7. Федеральный закон от 30.11.2024 № 447-ФЗ «О внесении изменения в статью 39.15 Земельного кодекса Российской Федерации»</w:t>
      </w:r>
      <w:r w:rsidRPr="00CD6628">
        <w:t xml:space="preserve"> </w:t>
      </w:r>
    </w:p>
    <w:p w14:paraId="46B24014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собственности. </w:t>
      </w:r>
    </w:p>
    <w:p w14:paraId="2570B028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При этом определено, что срок действия такого решения 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 </w:t>
      </w:r>
    </w:p>
    <w:p w14:paraId="1EFE74C8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Предусматривается, что 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 </w:t>
      </w:r>
    </w:p>
    <w:p w14:paraId="0C707B10" w14:textId="77777777" w:rsidR="008A4626" w:rsidRDefault="00CD6628" w:rsidP="002775B8">
      <w:pPr>
        <w:spacing w:after="0" w:line="240" w:lineRule="auto"/>
        <w:ind w:firstLine="284"/>
        <w:jc w:val="both"/>
      </w:pPr>
      <w:r w:rsidRPr="008A4626">
        <w:rPr>
          <w:i/>
        </w:rPr>
        <w:t>8. Федеральный закон от 30.11.2024 № 437-ФЗ «О внесении изменений в Федеральный закон «О статусе военнослужащих»»</w:t>
      </w:r>
      <w:r w:rsidRPr="00CD6628">
        <w:t xml:space="preserve"> </w:t>
      </w:r>
    </w:p>
    <w:p w14:paraId="40895AA4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субсидией. </w:t>
      </w:r>
    </w:p>
    <w:p w14:paraId="4149853B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 </w:t>
      </w:r>
    </w:p>
    <w:p w14:paraId="6DFE168D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Настоящий Федеральный закон вступает в силу со дня его официального опубликования. </w:t>
      </w:r>
    </w:p>
    <w:p w14:paraId="5F5261F4" w14:textId="77777777" w:rsidR="008A4626" w:rsidRDefault="00CD6628" w:rsidP="002775B8">
      <w:pPr>
        <w:spacing w:after="0" w:line="240" w:lineRule="auto"/>
        <w:ind w:firstLine="284"/>
        <w:jc w:val="both"/>
      </w:pPr>
      <w:r w:rsidRPr="008A4626">
        <w:rPr>
          <w:i/>
        </w:rPr>
        <w:t>9. Федеральный закон от 30.11.2024 №4 33-ФЗ «О внесении изменений в отдельные законодательные акты Российской Федерации»</w:t>
      </w:r>
      <w:r w:rsidRPr="00CD6628">
        <w:t xml:space="preserve"> </w:t>
      </w:r>
    </w:p>
    <w:p w14:paraId="6049614B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Усилен госконтроль за производством и оборотом спиртосодержащей непищевой продукции.  </w:t>
      </w:r>
    </w:p>
    <w:p w14:paraId="2F659446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Предусмотрено, в том числе, что лица, которые вправе осуществлять оборот спиртосодержащей непищевой продукции, осуществляют оборот такой продукции, подлежащей обязательной маркировке средствами идентификации, только после регистрации этих лиц в соответствии с правилами маркировки спиртосодержащей непищевой продукции, подлежащей обязательной маркировке средствами идентификации, утвержденными Правительством. </w:t>
      </w:r>
    </w:p>
    <w:p w14:paraId="1D0E01BD" w14:textId="3D656BFA" w:rsidR="008A4626" w:rsidRDefault="00CD6628" w:rsidP="008A4626">
      <w:pPr>
        <w:spacing w:after="0" w:line="240" w:lineRule="auto"/>
        <w:ind w:firstLine="284"/>
        <w:jc w:val="both"/>
      </w:pPr>
      <w:r w:rsidRPr="00CD6628">
        <w:t xml:space="preserve">Организации, осуществляющие производство и (или) оборот спиртосодержащей непищевой продукции, подлежащей обязательной маркировке, обязаны представлять сведения об объеме производства и (или) оборота такой продукции в соответствующую государственную информационную систему согласно правилам, утвержденным Правительством. Индивидуальные предприниматели, осуществляющие розничную продажу спиртосодержащей непищевой продукции, подлежащей обязательной маркировке,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правилам, утвержденным Правительством. </w:t>
      </w:r>
    </w:p>
    <w:p w14:paraId="5F320973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lastRenderedPageBreak/>
        <w:t xml:space="preserve">До 1 марта 2027 года допускается использовать товарно-транспортную накладную на бумажном носителе в качестве сопроводительного документа, удостоверяющего легальность производства и оборота этилового спирта, алкогольной и спиртосодержащей продукции. </w:t>
      </w:r>
    </w:p>
    <w:p w14:paraId="570378AF" w14:textId="77777777" w:rsidR="008A4626" w:rsidRDefault="00CD6628" w:rsidP="002775B8">
      <w:pPr>
        <w:spacing w:after="0" w:line="240" w:lineRule="auto"/>
        <w:ind w:firstLine="284"/>
        <w:jc w:val="both"/>
      </w:pPr>
      <w:r w:rsidRPr="008A4626">
        <w:rPr>
          <w:i/>
        </w:rPr>
        <w:t>10. Федеральный закон от 30.11.2024 № 443-ФЗ «О внесении изменений в статью 11 Федерального закона «О промышленной политике в Российской Федерации»</w:t>
      </w:r>
      <w:r w:rsidRPr="00CD6628">
        <w:t xml:space="preserve"> </w:t>
      </w:r>
    </w:p>
    <w:p w14:paraId="2F520918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Подписан закон, закрепляющий возможность создания экспертных советов в государственных фондах развития промышленности. </w:t>
      </w:r>
    </w:p>
    <w:p w14:paraId="4DD6D47C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К компетенции экспертного совета как коллегиального органа управления отнесены следующие вопросы: - принятие решений о предоставлении финансовой поддержки субъектам деятельности в сфере промышленности, об изменении ее объема в соответствии с порядком предоставления финансовой поддержки субъектам деятельности в сфере промышленности, направленной на выполнение программ и проектов, реализация которых осуществляется за счет средств государственного фонда развития промышленности, порядком и условиями финансирования проектов государственным фондом развития промышленности; </w:t>
      </w:r>
    </w:p>
    <w:p w14:paraId="06DBA096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- иные вопросы, отнесенные уставом государственного фонда развития промышленности к компетенции экспертного совета. </w:t>
      </w:r>
    </w:p>
    <w:p w14:paraId="15F04383" w14:textId="77777777" w:rsidR="008A4626" w:rsidRDefault="00CD6628" w:rsidP="002775B8">
      <w:pPr>
        <w:spacing w:after="0" w:line="240" w:lineRule="auto"/>
        <w:ind w:firstLine="284"/>
        <w:jc w:val="both"/>
      </w:pPr>
      <w:r w:rsidRPr="008A4626">
        <w:rPr>
          <w:i/>
        </w:rPr>
        <w:t>11. Федеральный закон от 30.11.2024 № 445-ФЗ «О внесении изменения в статью 3.1 Федерального закона «Устав автомобильного транспорта и городского наземного электрического транспорта»</w:t>
      </w:r>
      <w:r w:rsidRPr="00CD6628">
        <w:t xml:space="preserve"> </w:t>
      </w:r>
    </w:p>
    <w:p w14:paraId="5BE0CA54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Закреплена обязанность контролируемых лиц, их представителей или работников, находящихся на пунктах контроля, обеспечить прохождение весогабаритного контроля по требованию уполномоченного должностного лица. </w:t>
      </w:r>
    </w:p>
    <w:p w14:paraId="75271983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Установлено, что контролируемые лица, в отношении транспортных средств которых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 осуществляется постоянный рейд, их представители или работники, находящиеся на пунктах контроля, обязаны по требованию должностного лица, уполномоченного на проведение постоянного рейда, обеспечить прохождение весового и габаритного контроля. </w:t>
      </w:r>
    </w:p>
    <w:p w14:paraId="4E585863" w14:textId="77777777" w:rsidR="008A4626" w:rsidRDefault="00CD6628" w:rsidP="002775B8">
      <w:pPr>
        <w:spacing w:after="0" w:line="240" w:lineRule="auto"/>
        <w:ind w:firstLine="284"/>
        <w:jc w:val="both"/>
      </w:pPr>
      <w:r w:rsidRPr="00CD6628">
        <w:t xml:space="preserve">Настоящий Федеральный закон вступает в силу с 1 сентября 2025 года. </w:t>
      </w:r>
    </w:p>
    <w:p w14:paraId="24F3742B" w14:textId="77777777" w:rsidR="008A4626" w:rsidRDefault="00CD6628" w:rsidP="008A4626">
      <w:pPr>
        <w:spacing w:after="0" w:line="240" w:lineRule="auto"/>
        <w:ind w:firstLine="284"/>
        <w:jc w:val="both"/>
      </w:pPr>
      <w:r w:rsidRPr="008A4626">
        <w:rPr>
          <w:i/>
        </w:rPr>
        <w:t>12. Приказ Минтруда России от 31.10.2024 № 599н «Об утверждении Порядка обращения гражданина в исполнительный орган субъекта Российской Федерации, осуществляющий полномочия в сфере занятости населения, в случае неурегулирования с органом службы занятости разногласий по содержанию индивидуального плана содействия занятости». Зарегистрировано в Минюсте России 02.12.2024 № 80425.</w:t>
      </w:r>
      <w:r w:rsidRPr="00CD6628">
        <w:t xml:space="preserve"> </w:t>
      </w:r>
    </w:p>
    <w:p w14:paraId="1483B34D" w14:textId="77777777" w:rsidR="008A4626" w:rsidRDefault="00CD6628" w:rsidP="008A4626">
      <w:pPr>
        <w:spacing w:after="0" w:line="240" w:lineRule="auto"/>
        <w:ind w:firstLine="284"/>
        <w:jc w:val="both"/>
      </w:pPr>
      <w:r w:rsidRPr="00CD6628">
        <w:t xml:space="preserve">Установлен порядок обращения гражданина в исполнительный орган субъекта РФ в случае неурегулирования с центром занятости населения разногласий по содержанию индивидуального плана содействия занятости. </w:t>
      </w:r>
    </w:p>
    <w:p w14:paraId="72278CC6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Гражданин, ищущий работу, гражданин, ищущий работу и претендующий на признание безработным, безработный гражданин вправе направить в исполнительный орган субъекта РФ, осуществляющий полномочия в сфере занятости населения, с использованием ЕЦП «Работа в России» обращение (заявление) о неурегулировании с органом службы занятости разногласий по содержанию индивидуального плана содействия занятости, содержащее замечания к индивидуальному плану. </w:t>
      </w:r>
    </w:p>
    <w:p w14:paraId="15D9B9A8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Приводится рекомендуемый образец указанного обращения (заявления). </w:t>
      </w:r>
    </w:p>
    <w:p w14:paraId="058CD82D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Настоящий приказ вступает в силу с 1 января 2025 года. </w:t>
      </w:r>
    </w:p>
    <w:p w14:paraId="52B9D934" w14:textId="77777777" w:rsidR="00041AEE" w:rsidRDefault="00CD6628" w:rsidP="008A4626">
      <w:pPr>
        <w:spacing w:after="0" w:line="240" w:lineRule="auto"/>
        <w:ind w:firstLine="284"/>
        <w:jc w:val="both"/>
      </w:pPr>
      <w:r w:rsidRPr="00041AEE">
        <w:rPr>
          <w:i/>
        </w:rPr>
        <w:t>13. Приказ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  <w:r w:rsidRPr="00CD6628">
        <w:t xml:space="preserve"> </w:t>
      </w:r>
      <w:r w:rsidRPr="00041AEE">
        <w:rPr>
          <w:i/>
        </w:rPr>
        <w:t>Зарегистрировано в Минюсте России 29.11.2024 № 80417.</w:t>
      </w:r>
      <w:r w:rsidRPr="00041AEE">
        <w:t xml:space="preserve"> </w:t>
      </w:r>
    </w:p>
    <w:p w14:paraId="13573EA4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С 1 марта 2025 г. вводятся в действие обновленные правила обеспечения готовности к отопительному периоду. </w:t>
      </w:r>
    </w:p>
    <w:p w14:paraId="5CA28A26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Определен порядок проведения оценки обеспечения готовности к отопительному периоду. </w:t>
      </w:r>
    </w:p>
    <w:p w14:paraId="67263505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Признается утратившим силу аналогичный приказ Минэнерго России от 12 марта 2013 г. № 103. </w:t>
      </w:r>
    </w:p>
    <w:p w14:paraId="338DD271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Настоящий приказ действует до 1 марта 2031 г. </w:t>
      </w:r>
    </w:p>
    <w:p w14:paraId="523EEAA4" w14:textId="77777777" w:rsidR="00041AEE" w:rsidRDefault="00CD6628" w:rsidP="008A4626">
      <w:pPr>
        <w:spacing w:after="0" w:line="240" w:lineRule="auto"/>
        <w:ind w:firstLine="284"/>
        <w:jc w:val="both"/>
      </w:pPr>
      <w:r w:rsidRPr="00041AEE">
        <w:rPr>
          <w:i/>
        </w:rPr>
        <w:t>14. Постановление Правительства РФ от 29.11.2024 № 1677 «О внесении изменений в постановление Правительства Российской Федерации от 7 мая 2022 г. № 833»</w:t>
      </w:r>
      <w:r w:rsidRPr="00CD6628">
        <w:t xml:space="preserve"> </w:t>
      </w:r>
    </w:p>
    <w:p w14:paraId="258C0532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 Актуализирован порядок аттестации экскурсоводов (гидов) и </w:t>
      </w:r>
      <w:proofErr w:type="spellStart"/>
      <w:r w:rsidRPr="00CD6628">
        <w:t>гидовпереводчиков</w:t>
      </w:r>
      <w:proofErr w:type="spellEnd"/>
      <w:r w:rsidRPr="00CD6628">
        <w:t xml:space="preserve">. </w:t>
      </w:r>
    </w:p>
    <w:p w14:paraId="0919BFF5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В частности, уточняются полномочия аттестационной комиссии и ее состав, порядок принятия решения об аттестации, корректируются сведения, которые должны быть указаны в заявлении для прохождения аттестации. </w:t>
      </w:r>
    </w:p>
    <w:p w14:paraId="11658646" w14:textId="77777777" w:rsidR="00041AEE" w:rsidRDefault="00CD6628" w:rsidP="00041AEE">
      <w:pPr>
        <w:spacing w:after="0" w:line="240" w:lineRule="auto"/>
        <w:ind w:firstLine="284"/>
        <w:jc w:val="both"/>
      </w:pPr>
      <w:r w:rsidRPr="00CD6628">
        <w:t xml:space="preserve">Закреплено, что заявление и прилагаемые к нему документы и сведения представляются соискателем в уполномоченный орган субъекта РФ в электронном виде через сеть "Интернет", в том числе посредством Единого портала госуслуг либо посредством регионального портала государственных и муниципальных услуг. </w:t>
      </w:r>
    </w:p>
    <w:p w14:paraId="79690712" w14:textId="77777777" w:rsidR="00041AEE" w:rsidRDefault="00CD6628" w:rsidP="00041AEE">
      <w:pPr>
        <w:spacing w:after="0" w:line="240" w:lineRule="auto"/>
        <w:ind w:firstLine="284"/>
        <w:jc w:val="both"/>
      </w:pPr>
      <w:r w:rsidRPr="00CD6628">
        <w:lastRenderedPageBreak/>
        <w:t xml:space="preserve">Срок рассмотрения заявления и прилагаемых документов сокращен до двух рабочих дней. </w:t>
      </w:r>
    </w:p>
    <w:p w14:paraId="4548F925" w14:textId="7EDCD875" w:rsidR="00041AEE" w:rsidRDefault="00CD6628" w:rsidP="00041AEE">
      <w:pPr>
        <w:spacing w:after="0" w:line="240" w:lineRule="auto"/>
        <w:ind w:firstLine="284"/>
        <w:jc w:val="both"/>
      </w:pPr>
      <w:r w:rsidRPr="00CD6628">
        <w:t xml:space="preserve">Также уточняется порядок проведения квалификационного экзамена и установлены правила проведения планового подтверждения соответствия экскурсоводов (гидов), гидов-переводчиков предусмотренным требованиям. </w:t>
      </w:r>
    </w:p>
    <w:p w14:paraId="5C37E4C4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Реализованы положения Федерального закона от 22 июня 2024 года № 143-ФЗ. </w:t>
      </w:r>
    </w:p>
    <w:p w14:paraId="5E60B663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Настоящее постановление вступает в силу с 1 марта 2025 года. </w:t>
      </w:r>
    </w:p>
    <w:p w14:paraId="5BF118F4" w14:textId="77777777" w:rsidR="00041AEE" w:rsidRDefault="00CD6628" w:rsidP="008A4626">
      <w:pPr>
        <w:spacing w:after="0" w:line="240" w:lineRule="auto"/>
        <w:ind w:firstLine="284"/>
        <w:jc w:val="both"/>
      </w:pPr>
      <w:r w:rsidRPr="00041AEE">
        <w:rPr>
          <w:i/>
        </w:rPr>
        <w:t xml:space="preserve">15. Постановление Правительства РФ от 30.11.2024 № 1685 «О внесении изменений в постановление Правительства Российской Федерации от 30 декабря 2017 г. № 1710» </w:t>
      </w:r>
    </w:p>
    <w:p w14:paraId="0006E51D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Установлены порядок и условия предоставления субсидий на </w:t>
      </w:r>
      <w:proofErr w:type="spellStart"/>
      <w:r w:rsidRPr="00CD6628">
        <w:t>софинансирование</w:t>
      </w:r>
      <w:proofErr w:type="spellEnd"/>
      <w:r w:rsidRPr="00CD6628">
        <w:t xml:space="preserve"> проектов по комплексному развитию территорий, которые включены в государственные программы субъектов РФ по развитию жилищного строительства</w:t>
      </w:r>
      <w:r w:rsidR="00041AEE">
        <w:t>.</w:t>
      </w:r>
      <w:r w:rsidRPr="00CD6628">
        <w:t xml:space="preserve"> </w:t>
      </w:r>
    </w:p>
    <w:p w14:paraId="6EDD9522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Субсидии могут быть направлены на следующие цели: строительство и реконструкция объектов социальной инфраструктуры (дошкольных учреждений, образовательных учреждений и учреждений здравоохранения), объектов транспортной инфраструктуры, объектов водоснабжения, водоотведения и теплоснабжения, подключение объектов капитального строительства к сетям теплоснабжения, водоснабжения и водоотведения. </w:t>
      </w:r>
    </w:p>
    <w:p w14:paraId="6B2F11B6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Направление субсидии на оплату задолженности по договору о подключении (технологическом присоединении) объекта капитального строительства к сетям теплоснабжения, водоснабжения и водоотведения не осуществляется. </w:t>
      </w:r>
    </w:p>
    <w:p w14:paraId="07C597F4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Приводится порядок расчета размера субсидии. </w:t>
      </w:r>
    </w:p>
    <w:p w14:paraId="701DAE86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>Эффективность использования субсидии оценивается Минстроем России путем сравнения фактически достигнутых и плановых значений результатов использования субсидии.</w:t>
      </w:r>
    </w:p>
    <w:p w14:paraId="7A069794" w14:textId="77777777" w:rsidR="00041AEE" w:rsidRDefault="00CD6628" w:rsidP="008A4626">
      <w:pPr>
        <w:spacing w:after="0" w:line="240" w:lineRule="auto"/>
        <w:ind w:firstLine="284"/>
        <w:jc w:val="both"/>
      </w:pPr>
      <w:r w:rsidRPr="00041AEE">
        <w:rPr>
          <w:i/>
        </w:rPr>
        <w:t>16. Постановление Правительства РФ от 29.11.2024 № 1670 «О внесении изменений в постановление Правительства Российской Федерации от 15 июля 2021 г. № 1213».</w:t>
      </w:r>
      <w:r w:rsidRPr="00CD6628">
        <w:t xml:space="preserve"> </w:t>
      </w:r>
    </w:p>
    <w:p w14:paraId="2F1234BD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Внесены изменения в порядок осуществления федерального государственного контроля (надзора) за соблюдением обязательных требований к проведению экзамена по русскому языку, истории России и основам законодательства РФ при выдаче иностранным гражданам сертификата.  </w:t>
      </w:r>
    </w:p>
    <w:p w14:paraId="4790CD11" w14:textId="77777777" w:rsidR="00041AEE" w:rsidRDefault="00CD6628" w:rsidP="008A4626">
      <w:pPr>
        <w:spacing w:after="0" w:line="240" w:lineRule="auto"/>
        <w:ind w:firstLine="284"/>
        <w:jc w:val="both"/>
      </w:pPr>
      <w:r w:rsidRPr="00CD6628">
        <w:t xml:space="preserve">В частности, уточнены положения, касающиеся учета объектов контроля, сроков проведения выездной проверки. </w:t>
      </w:r>
    </w:p>
    <w:p w14:paraId="2745E46E" w14:textId="687E124C" w:rsidR="000C25F5" w:rsidRPr="008A4626" w:rsidRDefault="00CD6628" w:rsidP="008A4626">
      <w:pPr>
        <w:spacing w:after="0" w:line="240" w:lineRule="auto"/>
        <w:ind w:firstLine="284"/>
        <w:jc w:val="both"/>
      </w:pPr>
      <w:bookmarkStart w:id="0" w:name="_GoBack"/>
      <w:bookmarkEnd w:id="0"/>
      <w:r w:rsidRPr="00CD6628">
        <w:t>Настоящее Постановление вступает в силу со дня вступления в силу Федерального закона «О внесении изменений в статьи 15.1 и 15.2 Федерального закона «О правовом положении иностранных граждан в Российской Федерации».</w:t>
      </w:r>
    </w:p>
    <w:p w14:paraId="7521C398" w14:textId="77777777" w:rsidR="00647F78" w:rsidRDefault="00647F78" w:rsidP="00C656C5">
      <w:pPr>
        <w:spacing w:after="0" w:line="240" w:lineRule="auto"/>
        <w:ind w:firstLine="284"/>
        <w:jc w:val="both"/>
      </w:pPr>
    </w:p>
    <w:p w14:paraId="5A2147CF" w14:textId="28CDAAE4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326A4"/>
    <w:rsid w:val="00041AEE"/>
    <w:rsid w:val="000C25F5"/>
    <w:rsid w:val="000F547B"/>
    <w:rsid w:val="00125D84"/>
    <w:rsid w:val="0019151F"/>
    <w:rsid w:val="002775B8"/>
    <w:rsid w:val="00335420"/>
    <w:rsid w:val="003448B1"/>
    <w:rsid w:val="003473BE"/>
    <w:rsid w:val="00351540"/>
    <w:rsid w:val="00380B09"/>
    <w:rsid w:val="004635D0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47F78"/>
    <w:rsid w:val="00667F26"/>
    <w:rsid w:val="006A17AC"/>
    <w:rsid w:val="006C5876"/>
    <w:rsid w:val="006C5E7F"/>
    <w:rsid w:val="008019FD"/>
    <w:rsid w:val="00834A40"/>
    <w:rsid w:val="00865E12"/>
    <w:rsid w:val="008875F2"/>
    <w:rsid w:val="008A4626"/>
    <w:rsid w:val="008B4988"/>
    <w:rsid w:val="008B4E12"/>
    <w:rsid w:val="00982D16"/>
    <w:rsid w:val="00985FC2"/>
    <w:rsid w:val="00A3336E"/>
    <w:rsid w:val="00AE27BC"/>
    <w:rsid w:val="00AF0634"/>
    <w:rsid w:val="00BA090A"/>
    <w:rsid w:val="00BC1454"/>
    <w:rsid w:val="00C305E3"/>
    <w:rsid w:val="00C624DB"/>
    <w:rsid w:val="00C656C5"/>
    <w:rsid w:val="00C916E0"/>
    <w:rsid w:val="00CB2EFE"/>
    <w:rsid w:val="00CD59F2"/>
    <w:rsid w:val="00CD6628"/>
    <w:rsid w:val="00D44B35"/>
    <w:rsid w:val="00DA1EC6"/>
    <w:rsid w:val="00DF4E62"/>
    <w:rsid w:val="00E707A7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2024-12-10T01:44:00Z</dcterms:created>
  <dcterms:modified xsi:type="dcterms:W3CDTF">2024-12-10T02:05:00Z</dcterms:modified>
</cp:coreProperties>
</file>